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3403" w14:textId="77777777" w:rsidR="007D3F16" w:rsidRDefault="007D3F16" w:rsidP="00D753D0">
      <w:pPr>
        <w:pStyle w:val="Title"/>
        <w:spacing w:after="120" w:line="259" w:lineRule="auto"/>
        <w:contextualSpacing w:val="0"/>
        <w:jc w:val="center"/>
        <w:rPr>
          <w:rFonts w:asciiTheme="minorHAnsi" w:hAnsiTheme="minorHAnsi" w:cstheme="minorHAnsi"/>
          <w:b/>
          <w:bCs/>
          <w:sz w:val="28"/>
          <w:szCs w:val="28"/>
        </w:rPr>
      </w:pPr>
      <w:r w:rsidRPr="00254010">
        <w:rPr>
          <w:rFonts w:asciiTheme="minorHAnsi" w:hAnsiTheme="minorHAnsi" w:cstheme="minorHAnsi"/>
          <w:noProof/>
          <w:sz w:val="22"/>
          <w:szCs w:val="22"/>
        </w:rPr>
        <w:drawing>
          <wp:inline distT="0" distB="0" distL="0" distR="0" wp14:anchorId="4E9F02A9" wp14:editId="4535F818">
            <wp:extent cx="1199626" cy="1371600"/>
            <wp:effectExtent l="0" t="0" r="63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870" cy="1377596"/>
                    </a:xfrm>
                    <a:prstGeom prst="rect">
                      <a:avLst/>
                    </a:prstGeom>
                  </pic:spPr>
                </pic:pic>
              </a:graphicData>
            </a:graphic>
          </wp:inline>
        </w:drawing>
      </w:r>
    </w:p>
    <w:p w14:paraId="0876F703" w14:textId="77777777" w:rsidR="007D3F16" w:rsidRPr="00A57697" w:rsidRDefault="007D3F16" w:rsidP="00D753D0">
      <w:pPr>
        <w:pStyle w:val="Title"/>
        <w:spacing w:after="120" w:line="259" w:lineRule="auto"/>
        <w:contextualSpacing w:val="0"/>
        <w:jc w:val="center"/>
        <w:rPr>
          <w:b/>
          <w:bCs/>
          <w:sz w:val="44"/>
          <w:szCs w:val="44"/>
        </w:rPr>
      </w:pPr>
      <w:r w:rsidRPr="00A57697">
        <w:rPr>
          <w:b/>
          <w:bCs/>
          <w:sz w:val="44"/>
          <w:szCs w:val="44"/>
        </w:rPr>
        <w:t>Lead Service Line Inventory</w:t>
      </w:r>
    </w:p>
    <w:p w14:paraId="56EEF01A" w14:textId="3A2359EE" w:rsidR="007D3F16" w:rsidRPr="00A57697" w:rsidRDefault="007D3F16" w:rsidP="00D753D0">
      <w:pPr>
        <w:pStyle w:val="Title"/>
        <w:spacing w:after="120" w:line="259" w:lineRule="auto"/>
        <w:contextualSpacing w:val="0"/>
        <w:jc w:val="center"/>
        <w:rPr>
          <w:b/>
          <w:bCs/>
          <w:sz w:val="44"/>
          <w:szCs w:val="44"/>
        </w:rPr>
      </w:pPr>
      <w:r w:rsidRPr="00A57697">
        <w:rPr>
          <w:b/>
          <w:bCs/>
          <w:sz w:val="44"/>
          <w:szCs w:val="44"/>
        </w:rPr>
        <w:t>Funding Program</w:t>
      </w:r>
    </w:p>
    <w:p w14:paraId="277DF043" w14:textId="5E81DE1A" w:rsidR="007D3F16" w:rsidRPr="00A57697" w:rsidRDefault="007D3F16" w:rsidP="00D753D0">
      <w:pPr>
        <w:pStyle w:val="Title"/>
        <w:spacing w:after="120" w:line="259" w:lineRule="auto"/>
        <w:contextualSpacing w:val="0"/>
        <w:jc w:val="center"/>
        <w:rPr>
          <w:b/>
          <w:bCs/>
          <w:sz w:val="44"/>
          <w:szCs w:val="44"/>
        </w:rPr>
      </w:pPr>
      <w:r>
        <w:rPr>
          <w:b/>
          <w:bCs/>
          <w:sz w:val="44"/>
          <w:szCs w:val="44"/>
        </w:rPr>
        <w:t>Frequently Asked Questions</w:t>
      </w:r>
      <w:r w:rsidRPr="00A57697">
        <w:rPr>
          <w:b/>
          <w:bCs/>
          <w:sz w:val="44"/>
          <w:szCs w:val="44"/>
        </w:rPr>
        <w:t xml:space="preserve"> </w:t>
      </w:r>
      <w:r>
        <w:rPr>
          <w:b/>
          <w:bCs/>
          <w:sz w:val="44"/>
          <w:szCs w:val="44"/>
        </w:rPr>
        <w:t>(FAQs)</w:t>
      </w:r>
    </w:p>
    <w:p w14:paraId="2576F383" w14:textId="77777777" w:rsidR="007D3F16" w:rsidRDefault="007D3F16" w:rsidP="00D753D0">
      <w:pPr>
        <w:spacing w:after="120"/>
      </w:pPr>
    </w:p>
    <w:p w14:paraId="5F68B2C4" w14:textId="2945CE6A" w:rsidR="007D3F16" w:rsidRPr="00EF1487" w:rsidRDefault="007D3F16" w:rsidP="00D753D0">
      <w:pPr>
        <w:spacing w:after="120"/>
        <w:jc w:val="center"/>
        <w:rPr>
          <w:b/>
          <w:bCs/>
          <w:highlight w:val="yellow"/>
        </w:rPr>
      </w:pPr>
      <w:r w:rsidRPr="009930AC">
        <w:rPr>
          <w:b/>
          <w:bCs/>
        </w:rPr>
        <w:t xml:space="preserve">Last updated: </w:t>
      </w:r>
      <w:r w:rsidR="00EF1487" w:rsidRPr="00EF1487">
        <w:rPr>
          <w:b/>
          <w:bCs/>
          <w:highlight w:val="yellow"/>
        </w:rPr>
        <w:t>January 2024</w:t>
      </w:r>
    </w:p>
    <w:p w14:paraId="5AC49899" w14:textId="460085AA" w:rsidR="00EF1487" w:rsidRDefault="00EF1487" w:rsidP="00D753D0">
      <w:pPr>
        <w:spacing w:after="120"/>
        <w:jc w:val="center"/>
        <w:rPr>
          <w:b/>
          <w:bCs/>
        </w:rPr>
      </w:pPr>
      <w:r w:rsidRPr="00EF1487">
        <w:rPr>
          <w:b/>
          <w:bCs/>
          <w:highlight w:val="yellow"/>
        </w:rPr>
        <w:t>New information highlighted in yellow.</w:t>
      </w:r>
    </w:p>
    <w:p w14:paraId="2A160DE3" w14:textId="3F5C2B7E" w:rsidR="009930AC" w:rsidRDefault="003A1D0F" w:rsidP="00D753D0">
      <w:pPr>
        <w:spacing w:after="120"/>
        <w:jc w:val="center"/>
        <w:rPr>
          <w:b/>
          <w:bCs/>
        </w:rPr>
      </w:pPr>
      <w:r>
        <w:rPr>
          <w:b/>
          <w:bCs/>
          <w:noProof/>
        </w:rPr>
        <mc:AlternateContent>
          <mc:Choice Requires="wps">
            <w:drawing>
              <wp:anchor distT="0" distB="0" distL="114300" distR="114300" simplePos="0" relativeHeight="251659264" behindDoc="0" locked="0" layoutInCell="1" allowOverlap="1" wp14:anchorId="4DFD68D9" wp14:editId="2BB9B07B">
                <wp:simplePos x="0" y="0"/>
                <wp:positionH relativeFrom="column">
                  <wp:posOffset>0</wp:posOffset>
                </wp:positionH>
                <wp:positionV relativeFrom="paragraph">
                  <wp:posOffset>123190</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0BDB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7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" strokecolor="#4472c4 [3204]" strokeweight=".5pt">
                <v:stroke joinstyle="miter"/>
              </v:line>
            </w:pict>
          </mc:Fallback>
        </mc:AlternateContent>
      </w:r>
    </w:p>
    <w:p w14:paraId="0DFB78A7" w14:textId="470AFAA1" w:rsidR="00213ECD" w:rsidRDefault="00213ECD" w:rsidP="00D753D0">
      <w:pPr>
        <w:pStyle w:val="ListParagraph"/>
        <w:numPr>
          <w:ilvl w:val="0"/>
          <w:numId w:val="1"/>
        </w:numPr>
        <w:spacing w:after="120"/>
        <w:contextualSpacing w:val="0"/>
        <w:rPr>
          <w:b/>
          <w:bCs/>
        </w:rPr>
      </w:pPr>
      <w:r>
        <w:rPr>
          <w:b/>
          <w:bCs/>
        </w:rPr>
        <w:t xml:space="preserve">Can my </w:t>
      </w:r>
      <w:r w:rsidR="0079207B">
        <w:rPr>
          <w:b/>
          <w:bCs/>
        </w:rPr>
        <w:t>utility</w:t>
      </w:r>
      <w:r>
        <w:rPr>
          <w:b/>
          <w:bCs/>
        </w:rPr>
        <w:t xml:space="preserve"> apply for assistance from multiple programs?</w:t>
      </w:r>
      <w:r w:rsidR="00260770">
        <w:rPr>
          <w:b/>
          <w:bCs/>
        </w:rPr>
        <w:t xml:space="preserve"> </w:t>
      </w:r>
      <w:r w:rsidR="006F0C5B">
        <w:rPr>
          <w:b/>
          <w:bCs/>
        </w:rPr>
        <w:t xml:space="preserve">For example, </w:t>
      </w:r>
      <w:r w:rsidR="00FB2CAB" w:rsidRPr="00FB2CAB">
        <w:rPr>
          <w:b/>
          <w:bCs/>
          <w:highlight w:val="yellow"/>
        </w:rPr>
        <w:t>beginning in 2024</w:t>
      </w:r>
      <w:r w:rsidR="00FB2CAB">
        <w:rPr>
          <w:b/>
          <w:bCs/>
        </w:rPr>
        <w:t xml:space="preserve">, </w:t>
      </w:r>
      <w:r w:rsidR="006F0C5B">
        <w:rPr>
          <w:b/>
          <w:bCs/>
        </w:rPr>
        <w:t xml:space="preserve">a utility with </w:t>
      </w:r>
      <w:r w:rsidR="00FB2CAB" w:rsidRPr="00FB2CAB">
        <w:rPr>
          <w:b/>
          <w:bCs/>
          <w:highlight w:val="yellow"/>
        </w:rPr>
        <w:t>700</w:t>
      </w:r>
      <w:r w:rsidR="006F0C5B">
        <w:rPr>
          <w:b/>
          <w:bCs/>
        </w:rPr>
        <w:t xml:space="preserve"> service connections may apply to the SRF Loan Program and the LSL Inventory Program for assistance with inventory work.</w:t>
      </w:r>
    </w:p>
    <w:p w14:paraId="365A87B9" w14:textId="0F8469FD" w:rsidR="00213ECD" w:rsidRDefault="00213ECD" w:rsidP="00D753D0">
      <w:pPr>
        <w:spacing w:after="120"/>
        <w:ind w:left="360"/>
      </w:pPr>
      <w:r w:rsidRPr="00213ECD">
        <w:t xml:space="preserve">Yes. The arrows in </w:t>
      </w:r>
      <w:r w:rsidRPr="006032EE">
        <w:rPr>
          <w:b/>
          <w:bCs/>
        </w:rPr>
        <w:t>Figure 1</w:t>
      </w:r>
      <w:r w:rsidRPr="00213ECD">
        <w:t xml:space="preserve"> shows which programs communities </w:t>
      </w:r>
      <w:r w:rsidR="0079207B">
        <w:t xml:space="preserve">can simultaneously utilize. </w:t>
      </w:r>
    </w:p>
    <w:p w14:paraId="497C60EC" w14:textId="77777777" w:rsidR="00C83D02" w:rsidRDefault="00C83D02" w:rsidP="00D753D0">
      <w:pPr>
        <w:spacing w:after="120"/>
        <w:ind w:left="360"/>
      </w:pPr>
    </w:p>
    <w:p w14:paraId="4AF34195" w14:textId="77777777" w:rsidR="00C83D02" w:rsidRPr="00213ECD" w:rsidRDefault="00C83D02" w:rsidP="00D753D0">
      <w:pPr>
        <w:spacing w:after="120"/>
        <w:ind w:left="360"/>
      </w:pPr>
    </w:p>
    <w:p w14:paraId="75989C05" w14:textId="4DB7B157" w:rsidR="0079207B" w:rsidRDefault="003D5B37" w:rsidP="00D753D0">
      <w:pPr>
        <w:keepNext/>
        <w:spacing w:after="120"/>
        <w:ind w:left="360"/>
      </w:pPr>
      <w:r>
        <w:rPr>
          <w:noProof/>
        </w:rPr>
        <w:drawing>
          <wp:inline distT="0" distB="0" distL="0" distR="0" wp14:anchorId="1B1B29C7" wp14:editId="71771FFA">
            <wp:extent cx="5633100" cy="2166620"/>
            <wp:effectExtent l="0" t="0" r="5715" b="5080"/>
            <wp:docPr id="2080776347"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76347" name="Picture 3"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33206" cy="2166661"/>
                    </a:xfrm>
                    <a:prstGeom prst="rect">
                      <a:avLst/>
                    </a:prstGeom>
                  </pic:spPr>
                </pic:pic>
              </a:graphicData>
            </a:graphic>
          </wp:inline>
        </w:drawing>
      </w:r>
    </w:p>
    <w:p w14:paraId="52A14699" w14:textId="77777777" w:rsidR="00213ECD" w:rsidRPr="0079207B" w:rsidRDefault="00213ECD" w:rsidP="00D753D0">
      <w:pPr>
        <w:shd w:val="clear" w:color="auto" w:fill="FFFFFF"/>
        <w:spacing w:after="120"/>
        <w:ind w:left="360"/>
        <w:rPr>
          <w:rFonts w:eastAsia="Times New Roman" w:cstheme="minorHAnsi"/>
          <w:i/>
          <w:iCs/>
          <w:noProof/>
        </w:rPr>
      </w:pPr>
      <w:r w:rsidRPr="0079207B">
        <w:rPr>
          <w:rFonts w:eastAsia="Times New Roman" w:cstheme="minorHAnsi"/>
          <w:b/>
          <w:bCs/>
          <w:i/>
          <w:iCs/>
          <w:noProof/>
        </w:rPr>
        <w:t>Figure 1:</w:t>
      </w:r>
      <w:r w:rsidRPr="0079207B">
        <w:rPr>
          <w:rFonts w:eastAsia="Times New Roman" w:cstheme="minorHAnsi"/>
          <w:i/>
          <w:iCs/>
          <w:noProof/>
        </w:rPr>
        <w:t xml:space="preserve"> IFA’s three funding paths for assistance with Lead Service Line Inventory work. Arrows indicate that utilities can apply to muliple programs at the same time.</w:t>
      </w:r>
    </w:p>
    <w:p w14:paraId="3B7F56F8" w14:textId="105589B4" w:rsidR="00213ECD" w:rsidRDefault="00213ECD" w:rsidP="00D753D0">
      <w:pPr>
        <w:pStyle w:val="ListParagraph"/>
        <w:spacing w:after="120"/>
        <w:contextualSpacing w:val="0"/>
        <w:rPr>
          <w:b/>
          <w:bCs/>
        </w:rPr>
      </w:pPr>
    </w:p>
    <w:p w14:paraId="7051459D" w14:textId="286B1815" w:rsidR="00897CB8" w:rsidRPr="00D753D0" w:rsidRDefault="00897CB8" w:rsidP="00D753D0">
      <w:pPr>
        <w:pStyle w:val="ListParagraph"/>
        <w:numPr>
          <w:ilvl w:val="0"/>
          <w:numId w:val="1"/>
        </w:numPr>
        <w:spacing w:after="120"/>
        <w:contextualSpacing w:val="0"/>
        <w:rPr>
          <w:b/>
          <w:bCs/>
        </w:rPr>
      </w:pPr>
      <w:r w:rsidRPr="00D753D0">
        <w:rPr>
          <w:b/>
          <w:bCs/>
        </w:rPr>
        <w:lastRenderedPageBreak/>
        <w:t xml:space="preserve">Can utility staff </w:t>
      </w:r>
      <w:r w:rsidR="001E5F00">
        <w:rPr>
          <w:b/>
          <w:bCs/>
        </w:rPr>
        <w:t>perform</w:t>
      </w:r>
      <w:r w:rsidRPr="00D753D0">
        <w:rPr>
          <w:b/>
          <w:bCs/>
        </w:rPr>
        <w:t xml:space="preserve"> the inventory work</w:t>
      </w:r>
      <w:r w:rsidR="001E5F00">
        <w:rPr>
          <w:b/>
          <w:bCs/>
        </w:rPr>
        <w:t xml:space="preserve"> and the utility be reimbursed</w:t>
      </w:r>
      <w:r w:rsidRPr="00D753D0">
        <w:rPr>
          <w:b/>
          <w:bCs/>
        </w:rPr>
        <w:t>?</w:t>
      </w:r>
    </w:p>
    <w:p w14:paraId="78E8850D" w14:textId="602B3FE1" w:rsidR="00897CB8" w:rsidRDefault="00897CB8" w:rsidP="00D753D0">
      <w:pPr>
        <w:spacing w:after="120"/>
        <w:ind w:left="360"/>
      </w:pPr>
      <w:r w:rsidRPr="00D753D0">
        <w:t>No. T</w:t>
      </w:r>
      <w:r w:rsidR="00D753D0" w:rsidRPr="00D753D0">
        <w:t xml:space="preserve">he IFA is not able to </w:t>
      </w:r>
      <w:r w:rsidR="00D753D0">
        <w:t>fund</w:t>
      </w:r>
      <w:r w:rsidR="00D753D0" w:rsidRPr="00D753D0">
        <w:t xml:space="preserve"> lead service line inventory work completed by utility staff. The IFA can only fund work that is encompassed by a contract</w:t>
      </w:r>
      <w:r w:rsidR="001E5F00">
        <w:t xml:space="preserve"> with a </w:t>
      </w:r>
      <w:r w:rsidR="006F0C5B">
        <w:t>third-party</w:t>
      </w:r>
      <w:r w:rsidR="001E5F00">
        <w:t xml:space="preserve"> provider</w:t>
      </w:r>
      <w:r w:rsidR="00D753D0" w:rsidRPr="00D753D0">
        <w:t>.</w:t>
      </w:r>
    </w:p>
    <w:p w14:paraId="1C7D5678" w14:textId="77777777" w:rsidR="00C83D02" w:rsidRDefault="00C83D02" w:rsidP="00D753D0">
      <w:pPr>
        <w:spacing w:after="120"/>
        <w:ind w:left="360"/>
      </w:pPr>
    </w:p>
    <w:p w14:paraId="7450326B" w14:textId="69FCAF09" w:rsidR="00D753D0" w:rsidRPr="00DE1FC9" w:rsidRDefault="00D753D0" w:rsidP="00D753D0">
      <w:pPr>
        <w:pStyle w:val="ListParagraph"/>
        <w:numPr>
          <w:ilvl w:val="0"/>
          <w:numId w:val="1"/>
        </w:numPr>
        <w:spacing w:after="120"/>
        <w:contextualSpacing w:val="0"/>
      </w:pPr>
      <w:r w:rsidRPr="00DE1FC9">
        <w:rPr>
          <w:b/>
          <w:bCs/>
        </w:rPr>
        <w:t xml:space="preserve">I have already spent funds on inventory work. Can I </w:t>
      </w:r>
      <w:r>
        <w:rPr>
          <w:b/>
          <w:bCs/>
        </w:rPr>
        <w:t xml:space="preserve">use the IFA LSL Inventory funding to </w:t>
      </w:r>
      <w:r w:rsidRPr="00DE1FC9">
        <w:rPr>
          <w:b/>
          <w:bCs/>
        </w:rPr>
        <w:t xml:space="preserve">get reimbursed? </w:t>
      </w:r>
    </w:p>
    <w:p w14:paraId="43AB2224" w14:textId="1DA6FCE1" w:rsidR="00D753D0" w:rsidRDefault="00D753D0" w:rsidP="00D753D0">
      <w:pPr>
        <w:pStyle w:val="ListParagraph"/>
        <w:spacing w:after="120"/>
        <w:ind w:left="360"/>
        <w:contextualSpacing w:val="0"/>
      </w:pPr>
      <w:r>
        <w:t>No</w:t>
      </w:r>
      <w:r w:rsidR="002B291D">
        <w:t xml:space="preserve">, but you could apply to use the funds for </w:t>
      </w:r>
      <w:r w:rsidR="003D5B37" w:rsidRPr="003D5B37">
        <w:rPr>
          <w:highlight w:val="yellow"/>
        </w:rPr>
        <w:t>LSL replacement planning (Type II) or validation work (Type III).</w:t>
      </w:r>
      <w:r w:rsidR="003D5B37">
        <w:t xml:space="preserve"> </w:t>
      </w:r>
    </w:p>
    <w:p w14:paraId="7303B55A" w14:textId="77777777" w:rsidR="00897CB8" w:rsidRDefault="00897CB8" w:rsidP="00D753D0">
      <w:pPr>
        <w:pStyle w:val="ListParagraph"/>
        <w:spacing w:after="120"/>
        <w:ind w:left="360"/>
        <w:contextualSpacing w:val="0"/>
        <w:rPr>
          <w:b/>
          <w:bCs/>
        </w:rPr>
      </w:pPr>
    </w:p>
    <w:p w14:paraId="66BA88A4" w14:textId="6D8FE298" w:rsidR="0042162A" w:rsidRPr="002B291D" w:rsidRDefault="0042162A" w:rsidP="0042162A">
      <w:pPr>
        <w:pStyle w:val="ListParagraph"/>
        <w:numPr>
          <w:ilvl w:val="0"/>
          <w:numId w:val="1"/>
        </w:numPr>
        <w:spacing w:after="120"/>
        <w:contextualSpacing w:val="0"/>
        <w:rPr>
          <w:b/>
          <w:bCs/>
          <w:highlight w:val="yellow"/>
        </w:rPr>
      </w:pPr>
      <w:r w:rsidRPr="002B291D">
        <w:rPr>
          <w:b/>
          <w:bCs/>
          <w:highlight w:val="yellow"/>
        </w:rPr>
        <w:t xml:space="preserve">Why are there different processes for </w:t>
      </w:r>
      <w:r w:rsidR="003D5B37" w:rsidRPr="002B291D">
        <w:rPr>
          <w:b/>
          <w:bCs/>
          <w:highlight w:val="yellow"/>
        </w:rPr>
        <w:t xml:space="preserve">Noncompetitive </w:t>
      </w:r>
      <w:r w:rsidR="002B291D" w:rsidRPr="002B291D">
        <w:rPr>
          <w:b/>
          <w:bCs/>
          <w:highlight w:val="yellow"/>
        </w:rPr>
        <w:t>F</w:t>
      </w:r>
      <w:r w:rsidR="003D5B37" w:rsidRPr="002B291D">
        <w:rPr>
          <w:b/>
          <w:bCs/>
          <w:highlight w:val="yellow"/>
        </w:rPr>
        <w:t xml:space="preserve">unding </w:t>
      </w:r>
      <w:r w:rsidRPr="002B291D">
        <w:rPr>
          <w:b/>
          <w:bCs/>
          <w:highlight w:val="yellow"/>
        </w:rPr>
        <w:t xml:space="preserve">compared to </w:t>
      </w:r>
      <w:r w:rsidR="003D5B37" w:rsidRPr="002B291D">
        <w:rPr>
          <w:b/>
          <w:bCs/>
          <w:highlight w:val="yellow"/>
        </w:rPr>
        <w:t xml:space="preserve">Competitive </w:t>
      </w:r>
      <w:r w:rsidR="002B291D" w:rsidRPr="002B291D">
        <w:rPr>
          <w:b/>
          <w:bCs/>
          <w:highlight w:val="yellow"/>
        </w:rPr>
        <w:t>F</w:t>
      </w:r>
      <w:r w:rsidR="003D5B37" w:rsidRPr="002B291D">
        <w:rPr>
          <w:b/>
          <w:bCs/>
          <w:highlight w:val="yellow"/>
        </w:rPr>
        <w:t xml:space="preserve">unding </w:t>
      </w:r>
      <w:r w:rsidRPr="002B291D">
        <w:rPr>
          <w:b/>
          <w:bCs/>
          <w:highlight w:val="yellow"/>
        </w:rPr>
        <w:t>Project Type</w:t>
      </w:r>
      <w:r w:rsidR="003D5B37" w:rsidRPr="002B291D">
        <w:rPr>
          <w:b/>
          <w:bCs/>
          <w:highlight w:val="yellow"/>
        </w:rPr>
        <w:t>s</w:t>
      </w:r>
      <w:r w:rsidR="002B291D" w:rsidRPr="002B291D">
        <w:rPr>
          <w:b/>
          <w:bCs/>
          <w:highlight w:val="yellow"/>
        </w:rPr>
        <w:t>?</w:t>
      </w:r>
    </w:p>
    <w:p w14:paraId="1D18E53B" w14:textId="77BB202E" w:rsidR="0042162A" w:rsidRDefault="0042162A" w:rsidP="0042162A">
      <w:pPr>
        <w:spacing w:after="120"/>
        <w:ind w:left="360"/>
      </w:pPr>
      <w:r w:rsidRPr="002B291D">
        <w:rPr>
          <w:highlight w:val="yellow"/>
        </w:rPr>
        <w:t xml:space="preserve">The IFA is prioritizing funding so that all utilities can receive assistance in </w:t>
      </w:r>
      <w:r w:rsidR="001E5F00" w:rsidRPr="002B291D">
        <w:rPr>
          <w:highlight w:val="yellow"/>
        </w:rPr>
        <w:t xml:space="preserve">complying with the new federal Lead and Copper Rule and submitting </w:t>
      </w:r>
      <w:r w:rsidRPr="002B291D">
        <w:rPr>
          <w:highlight w:val="yellow"/>
        </w:rPr>
        <w:t>an inventory to IDEM</w:t>
      </w:r>
      <w:r w:rsidR="003D5B37" w:rsidRPr="002B291D">
        <w:rPr>
          <w:highlight w:val="yellow"/>
        </w:rPr>
        <w:t xml:space="preserve">. </w:t>
      </w:r>
      <w:r w:rsidRPr="002B291D">
        <w:rPr>
          <w:highlight w:val="yellow"/>
        </w:rPr>
        <w:t>As a result of</w:t>
      </w:r>
      <w:r w:rsidR="002B291D" w:rsidRPr="002B291D">
        <w:rPr>
          <w:highlight w:val="yellow"/>
        </w:rPr>
        <w:t xml:space="preserve"> making Noncompetitive Funding available, the amount of </w:t>
      </w:r>
      <w:r w:rsidR="003D5B37" w:rsidRPr="002B291D">
        <w:rPr>
          <w:highlight w:val="yellow"/>
        </w:rPr>
        <w:t>Competitive</w:t>
      </w:r>
      <w:r w:rsidR="002B291D" w:rsidRPr="002B291D">
        <w:rPr>
          <w:highlight w:val="yellow"/>
        </w:rPr>
        <w:t xml:space="preserve"> F</w:t>
      </w:r>
      <w:r w:rsidR="003D5B37" w:rsidRPr="002B291D">
        <w:rPr>
          <w:highlight w:val="yellow"/>
        </w:rPr>
        <w:t>und</w:t>
      </w:r>
      <w:r w:rsidR="002B291D" w:rsidRPr="002B291D">
        <w:rPr>
          <w:highlight w:val="yellow"/>
        </w:rPr>
        <w:t xml:space="preserve">ing </w:t>
      </w:r>
      <w:r w:rsidRPr="002B291D">
        <w:rPr>
          <w:highlight w:val="yellow"/>
        </w:rPr>
        <w:t xml:space="preserve">is limited and subject to a </w:t>
      </w:r>
      <w:r w:rsidR="002B291D" w:rsidRPr="002B291D">
        <w:rPr>
          <w:highlight w:val="yellow"/>
        </w:rPr>
        <w:t xml:space="preserve">more </w:t>
      </w:r>
      <w:r w:rsidRPr="002B291D">
        <w:rPr>
          <w:highlight w:val="yellow"/>
        </w:rPr>
        <w:t>competitive process.</w:t>
      </w:r>
    </w:p>
    <w:p w14:paraId="39C263D1" w14:textId="77777777" w:rsidR="0042162A" w:rsidRDefault="0042162A" w:rsidP="0042162A">
      <w:pPr>
        <w:spacing w:after="120"/>
        <w:ind w:left="360"/>
      </w:pPr>
    </w:p>
    <w:p w14:paraId="07D6154F" w14:textId="26C24149" w:rsidR="00F02B78" w:rsidRPr="00001373" w:rsidRDefault="005523C5" w:rsidP="00D753D0">
      <w:pPr>
        <w:pStyle w:val="ListParagraph"/>
        <w:numPr>
          <w:ilvl w:val="0"/>
          <w:numId w:val="1"/>
        </w:numPr>
        <w:spacing w:after="120"/>
        <w:contextualSpacing w:val="0"/>
        <w:rPr>
          <w:b/>
          <w:bCs/>
          <w:highlight w:val="yellow"/>
        </w:rPr>
      </w:pPr>
      <w:r w:rsidRPr="00001373">
        <w:rPr>
          <w:b/>
          <w:bCs/>
          <w:highlight w:val="yellow"/>
        </w:rPr>
        <w:t xml:space="preserve">I want to apply for Round </w:t>
      </w:r>
      <w:r w:rsidR="003D5B37" w:rsidRPr="00001373">
        <w:rPr>
          <w:b/>
          <w:bCs/>
          <w:highlight w:val="yellow"/>
        </w:rPr>
        <w:t>2</w:t>
      </w:r>
      <w:r w:rsidRPr="00001373">
        <w:rPr>
          <w:b/>
          <w:bCs/>
          <w:highlight w:val="yellow"/>
        </w:rPr>
        <w:t xml:space="preserve"> funding but haven’t selected a Service Provider. What should I do? </w:t>
      </w:r>
    </w:p>
    <w:p w14:paraId="0F203EBD" w14:textId="54659F54" w:rsidR="008B0424" w:rsidRDefault="005523C5" w:rsidP="00D753D0">
      <w:pPr>
        <w:spacing w:after="120"/>
        <w:ind w:left="360"/>
      </w:pPr>
      <w:r w:rsidRPr="00001373">
        <w:rPr>
          <w:highlight w:val="yellow"/>
        </w:rPr>
        <w:t xml:space="preserve">Select a </w:t>
      </w:r>
      <w:r w:rsidR="0079207B" w:rsidRPr="00001373">
        <w:rPr>
          <w:highlight w:val="yellow"/>
        </w:rPr>
        <w:t>Service P</w:t>
      </w:r>
      <w:r w:rsidR="008B0424" w:rsidRPr="00001373">
        <w:rPr>
          <w:highlight w:val="yellow"/>
        </w:rPr>
        <w:t xml:space="preserve">rovider </w:t>
      </w:r>
      <w:r w:rsidR="003A080A" w:rsidRPr="00001373">
        <w:rPr>
          <w:highlight w:val="yellow"/>
        </w:rPr>
        <w:t xml:space="preserve">and apply </w:t>
      </w:r>
      <w:r w:rsidR="008B0424" w:rsidRPr="00001373">
        <w:rPr>
          <w:highlight w:val="yellow"/>
        </w:rPr>
        <w:t xml:space="preserve">prior to the closing of Round </w:t>
      </w:r>
      <w:r w:rsidR="00001373" w:rsidRPr="00001373">
        <w:rPr>
          <w:highlight w:val="yellow"/>
        </w:rPr>
        <w:t>2 on February 29, 2024. A Round 3 is not currently anticipated.</w:t>
      </w:r>
      <w:r w:rsidR="00001373">
        <w:t xml:space="preserve"> </w:t>
      </w:r>
    </w:p>
    <w:p w14:paraId="6FD8A002" w14:textId="77777777" w:rsidR="00D753D0" w:rsidRPr="008B0424" w:rsidRDefault="00D753D0" w:rsidP="00D753D0">
      <w:pPr>
        <w:spacing w:after="120"/>
        <w:ind w:left="360"/>
      </w:pPr>
    </w:p>
    <w:p w14:paraId="7027A227" w14:textId="651DBCCD" w:rsidR="00EA4254" w:rsidRDefault="00EA4254" w:rsidP="00D753D0">
      <w:pPr>
        <w:pStyle w:val="ListParagraph"/>
        <w:numPr>
          <w:ilvl w:val="0"/>
          <w:numId w:val="1"/>
        </w:numPr>
        <w:spacing w:after="120"/>
        <w:contextualSpacing w:val="0"/>
        <w:rPr>
          <w:b/>
          <w:bCs/>
        </w:rPr>
      </w:pPr>
      <w:r>
        <w:rPr>
          <w:b/>
          <w:bCs/>
        </w:rPr>
        <w:t xml:space="preserve">What if I already have </w:t>
      </w:r>
      <w:r w:rsidR="00E70F3D">
        <w:rPr>
          <w:b/>
          <w:bCs/>
        </w:rPr>
        <w:t xml:space="preserve">an ongoing/active </w:t>
      </w:r>
      <w:r>
        <w:rPr>
          <w:b/>
          <w:bCs/>
        </w:rPr>
        <w:t xml:space="preserve">contract with a Service Provider? </w:t>
      </w:r>
    </w:p>
    <w:p w14:paraId="10DCE108" w14:textId="77777777" w:rsidR="00E70F3D" w:rsidRDefault="008B0424" w:rsidP="00D753D0">
      <w:pPr>
        <w:spacing w:after="120"/>
        <w:ind w:left="360"/>
      </w:pPr>
      <w:r w:rsidRPr="00F13EB7">
        <w:t xml:space="preserve">Communities in this position have two options: </w:t>
      </w:r>
    </w:p>
    <w:p w14:paraId="5A461F52" w14:textId="282D18D0" w:rsidR="00E70F3D" w:rsidRDefault="0082172E" w:rsidP="00D753D0">
      <w:pPr>
        <w:pStyle w:val="ListParagraph"/>
        <w:numPr>
          <w:ilvl w:val="0"/>
          <w:numId w:val="4"/>
        </w:numPr>
        <w:spacing w:after="120"/>
        <w:ind w:left="1080"/>
        <w:contextualSpacing w:val="0"/>
      </w:pPr>
      <w:r>
        <w:t>A</w:t>
      </w:r>
      <w:r w:rsidR="008B0424" w:rsidRPr="00F13EB7">
        <w:t xml:space="preserve">mend/cancel the contract with the Service Provider and allow </w:t>
      </w:r>
      <w:r w:rsidR="00B2786B" w:rsidRPr="00F13EB7">
        <w:t>the provider</w:t>
      </w:r>
      <w:r w:rsidR="008B0424" w:rsidRPr="00F13EB7">
        <w:t xml:space="preserve"> to </w:t>
      </w:r>
      <w:proofErr w:type="gramStart"/>
      <w:r w:rsidR="008B0424" w:rsidRPr="00F13EB7">
        <w:t>enter into</w:t>
      </w:r>
      <w:proofErr w:type="gramEnd"/>
      <w:r w:rsidR="008B0424" w:rsidRPr="00F13EB7">
        <w:t xml:space="preserve"> a contract with the IFA</w:t>
      </w:r>
      <w:r>
        <w:t>.</w:t>
      </w:r>
    </w:p>
    <w:p w14:paraId="4B161766" w14:textId="7CBEFBF6" w:rsidR="00E70F3D" w:rsidRDefault="0082172E" w:rsidP="00D753D0">
      <w:pPr>
        <w:pStyle w:val="ListParagraph"/>
        <w:numPr>
          <w:ilvl w:val="0"/>
          <w:numId w:val="4"/>
        </w:numPr>
        <w:spacing w:after="120"/>
        <w:ind w:left="1080"/>
        <w:contextualSpacing w:val="0"/>
      </w:pPr>
      <w:r>
        <w:t>C</w:t>
      </w:r>
      <w:r w:rsidR="001F14DC" w:rsidRPr="00F13EB7">
        <w:t xml:space="preserve">omplete the work </w:t>
      </w:r>
      <w:r w:rsidR="00975915">
        <w:t>for which you have already contracted</w:t>
      </w:r>
      <w:r w:rsidR="00F4584E">
        <w:t xml:space="preserve"> and apply for </w:t>
      </w:r>
      <w:r w:rsidR="00975915">
        <w:t>IFA</w:t>
      </w:r>
      <w:r w:rsidR="00F4584E">
        <w:t xml:space="preserve"> funds for another project. </w:t>
      </w:r>
    </w:p>
    <w:p w14:paraId="0C08A2D0" w14:textId="77777777" w:rsidR="001B14A3" w:rsidRDefault="001B14A3" w:rsidP="00D753D0">
      <w:pPr>
        <w:pStyle w:val="ListParagraph"/>
        <w:spacing w:after="120"/>
        <w:contextualSpacing w:val="0"/>
      </w:pPr>
    </w:p>
    <w:p w14:paraId="0DBC7DE1" w14:textId="77777777" w:rsidR="005452C8" w:rsidRPr="005452C8" w:rsidRDefault="00F02B78" w:rsidP="00D753D0">
      <w:pPr>
        <w:pStyle w:val="ListParagraph"/>
        <w:numPr>
          <w:ilvl w:val="0"/>
          <w:numId w:val="1"/>
        </w:numPr>
        <w:spacing w:after="120"/>
        <w:contextualSpacing w:val="0"/>
      </w:pPr>
      <w:r>
        <w:rPr>
          <w:b/>
          <w:bCs/>
        </w:rPr>
        <w:t>Wh</w:t>
      </w:r>
      <w:r w:rsidR="005452C8">
        <w:rPr>
          <w:b/>
          <w:bCs/>
        </w:rPr>
        <w:t xml:space="preserve">y must an inventory be submitted prior to applying for Type II or III projects? </w:t>
      </w:r>
    </w:p>
    <w:p w14:paraId="72990A97" w14:textId="3E845F33" w:rsidR="004C66F8" w:rsidRDefault="005452C8" w:rsidP="00D753D0">
      <w:pPr>
        <w:pStyle w:val="ListParagraph"/>
        <w:spacing w:after="120"/>
        <w:ind w:left="360"/>
        <w:contextualSpacing w:val="0"/>
      </w:pPr>
      <w:r>
        <w:t xml:space="preserve">The </w:t>
      </w:r>
      <w:r w:rsidR="00715A8D">
        <w:t xml:space="preserve">primary </w:t>
      </w:r>
      <w:r>
        <w:t>goal of the program is to assist utilities</w:t>
      </w:r>
      <w:r w:rsidR="008A3E46">
        <w:t xml:space="preserve"> in compl</w:t>
      </w:r>
      <w:r w:rsidR="00715A8D">
        <w:t>ying</w:t>
      </w:r>
      <w:r w:rsidR="008A3E46">
        <w:t xml:space="preserve"> with the Lead and Copper Rul</w:t>
      </w:r>
      <w:r w:rsidR="00715A8D">
        <w:t>e’s requirement of creating a</w:t>
      </w:r>
      <w:r w:rsidR="00DE1FC9">
        <w:t>n</w:t>
      </w:r>
      <w:r w:rsidR="00715A8D">
        <w:t xml:space="preserve"> LSL </w:t>
      </w:r>
      <w:r>
        <w:t xml:space="preserve">inventory. </w:t>
      </w:r>
    </w:p>
    <w:p w14:paraId="01E4F441" w14:textId="77777777" w:rsidR="005452C8" w:rsidRPr="004C66F8" w:rsidRDefault="005452C8" w:rsidP="00D753D0">
      <w:pPr>
        <w:pStyle w:val="ListParagraph"/>
        <w:spacing w:after="120"/>
        <w:ind w:left="360"/>
        <w:contextualSpacing w:val="0"/>
      </w:pPr>
    </w:p>
    <w:p w14:paraId="7E645A33" w14:textId="3F85E5D6" w:rsidR="00F327F1" w:rsidRPr="00B10E16" w:rsidRDefault="00F327F1" w:rsidP="00D753D0">
      <w:pPr>
        <w:pStyle w:val="ListParagraph"/>
        <w:numPr>
          <w:ilvl w:val="0"/>
          <w:numId w:val="1"/>
        </w:numPr>
        <w:spacing w:after="120"/>
        <w:contextualSpacing w:val="0"/>
        <w:rPr>
          <w:b/>
          <w:bCs/>
        </w:rPr>
      </w:pPr>
      <w:r>
        <w:rPr>
          <w:b/>
          <w:bCs/>
        </w:rPr>
        <w:t xml:space="preserve">Can I apply for </w:t>
      </w:r>
      <w:r w:rsidR="00DE1FC9">
        <w:rPr>
          <w:b/>
          <w:bCs/>
        </w:rPr>
        <w:t xml:space="preserve">Project Type I </w:t>
      </w:r>
      <w:r>
        <w:rPr>
          <w:b/>
          <w:bCs/>
        </w:rPr>
        <w:t>funds if I have already submitted a basic inventory to IDEM’s</w:t>
      </w:r>
      <w:r w:rsidR="00B10E16" w:rsidRPr="00803465">
        <w:rPr>
          <w:rFonts w:eastAsia="Times New Roman" w:cstheme="minorHAnsi"/>
        </w:rPr>
        <w:t xml:space="preserve"> </w:t>
      </w:r>
      <w:r w:rsidR="00B10E16" w:rsidRPr="00B10E16">
        <w:rPr>
          <w:rFonts w:eastAsia="Times New Roman" w:cstheme="minorHAnsi"/>
          <w:b/>
          <w:bCs/>
        </w:rPr>
        <w:t>LSL Inventory reporting portal</w:t>
      </w:r>
      <w:r w:rsidRPr="00B10E16">
        <w:rPr>
          <w:b/>
          <w:bCs/>
        </w:rPr>
        <w:t xml:space="preserve"> but would like </w:t>
      </w:r>
      <w:r w:rsidR="00DE1FC9" w:rsidRPr="00B10E16">
        <w:rPr>
          <w:b/>
          <w:bCs/>
        </w:rPr>
        <w:t xml:space="preserve">to </w:t>
      </w:r>
      <w:r w:rsidR="00F268F8" w:rsidRPr="00B10E16">
        <w:rPr>
          <w:b/>
          <w:bCs/>
        </w:rPr>
        <w:t>complete a more robust inventory</w:t>
      </w:r>
      <w:r w:rsidRPr="00B10E16">
        <w:rPr>
          <w:b/>
          <w:bCs/>
        </w:rPr>
        <w:t xml:space="preserve"> (Project Type 1)? </w:t>
      </w:r>
    </w:p>
    <w:p w14:paraId="3E6A7F9F" w14:textId="45D5078D" w:rsidR="00F327F1" w:rsidRDefault="00F327F1" w:rsidP="00D753D0">
      <w:pPr>
        <w:spacing w:after="120"/>
        <w:ind w:left="360"/>
      </w:pPr>
      <w:r>
        <w:t xml:space="preserve">Yes. For example, perhaps you submitted an inventory based upon your billing system data and your next </w:t>
      </w:r>
      <w:r w:rsidRPr="00AE3FB1">
        <w:t xml:space="preserve">project will digitize tap cards and/or utilize modeling services. </w:t>
      </w:r>
    </w:p>
    <w:p w14:paraId="04A8990F" w14:textId="77777777" w:rsidR="00D753D0" w:rsidRDefault="00D753D0" w:rsidP="00D753D0">
      <w:pPr>
        <w:spacing w:after="120"/>
        <w:ind w:left="360"/>
      </w:pPr>
    </w:p>
    <w:p w14:paraId="4058C199" w14:textId="77777777" w:rsidR="00C83D02" w:rsidRDefault="00C83D02" w:rsidP="00D753D0">
      <w:pPr>
        <w:spacing w:after="120"/>
        <w:ind w:left="360"/>
      </w:pPr>
    </w:p>
    <w:p w14:paraId="4FFB6A1D" w14:textId="77777777" w:rsidR="00C83D02" w:rsidRPr="00AE3FB1" w:rsidRDefault="00C83D02" w:rsidP="00D753D0">
      <w:pPr>
        <w:spacing w:after="120"/>
        <w:ind w:left="360"/>
      </w:pPr>
    </w:p>
    <w:p w14:paraId="011C80CB" w14:textId="77777777" w:rsidR="00A1737E" w:rsidRPr="00B93E74" w:rsidRDefault="00A1737E" w:rsidP="00A1737E">
      <w:pPr>
        <w:pStyle w:val="ListParagraph"/>
        <w:numPr>
          <w:ilvl w:val="0"/>
          <w:numId w:val="1"/>
        </w:numPr>
        <w:spacing w:after="120"/>
        <w:contextualSpacing w:val="0"/>
      </w:pPr>
      <w:r>
        <w:rPr>
          <w:b/>
          <w:bCs/>
        </w:rPr>
        <w:t>What is the PWS Portal</w:t>
      </w:r>
      <w:r w:rsidRPr="005C1F16">
        <w:rPr>
          <w:b/>
          <w:bCs/>
        </w:rPr>
        <w:t xml:space="preserve">? </w:t>
      </w:r>
      <w:r>
        <w:rPr>
          <w:b/>
          <w:bCs/>
        </w:rPr>
        <w:t>What is the State Dashboard?</w:t>
      </w:r>
    </w:p>
    <w:p w14:paraId="7755B109" w14:textId="7AE9C801" w:rsidR="00A1737E" w:rsidRDefault="00A1737E" w:rsidP="00A1737E">
      <w:pPr>
        <w:pStyle w:val="ListParagraph"/>
        <w:spacing w:after="120"/>
        <w:ind w:left="360"/>
        <w:contextualSpacing w:val="0"/>
        <w:rPr>
          <w:rFonts w:eastAsia="Times New Roman" w:cstheme="minorHAnsi"/>
        </w:rPr>
      </w:pPr>
      <w:bookmarkStart w:id="0" w:name="_Hlk155872435"/>
      <w:r>
        <w:rPr>
          <w:rFonts w:eastAsia="Times New Roman" w:cstheme="minorHAnsi"/>
        </w:rPr>
        <w:t xml:space="preserve">The </w:t>
      </w:r>
      <w:r w:rsidRPr="00003872">
        <w:rPr>
          <w:rFonts w:eastAsia="Times New Roman" w:cstheme="minorHAnsi"/>
        </w:rPr>
        <w:t>PWS Portal is where utilities will manage their LSL inventories.</w:t>
      </w:r>
      <w:r>
        <w:rPr>
          <w:rFonts w:eastAsia="Times New Roman" w:cstheme="minorHAnsi"/>
        </w:rPr>
        <w:t xml:space="preserve"> The </w:t>
      </w:r>
      <w:r w:rsidRPr="00003872">
        <w:rPr>
          <w:rFonts w:eastAsia="Times New Roman" w:cstheme="minorHAnsi"/>
        </w:rPr>
        <w:t>State Dashboard is where IDEM will view LSL inventories</w:t>
      </w:r>
      <w:r>
        <w:rPr>
          <w:rFonts w:eastAsia="Times New Roman" w:cstheme="minorHAnsi"/>
        </w:rPr>
        <w:t xml:space="preserve">. </w:t>
      </w:r>
      <w:r w:rsidRPr="00003872">
        <w:rPr>
          <w:rFonts w:eastAsia="Times New Roman" w:cstheme="minorHAnsi"/>
        </w:rPr>
        <w:t>Utilities will “upload” LSL data into the Portal.</w:t>
      </w:r>
      <w:r>
        <w:rPr>
          <w:rFonts w:eastAsia="Times New Roman" w:cstheme="minorHAnsi"/>
        </w:rPr>
        <w:t xml:space="preserve"> </w:t>
      </w:r>
      <w:r w:rsidRPr="007F7EA9">
        <w:rPr>
          <w:rFonts w:eastAsia="Times New Roman" w:cstheme="minorHAnsi"/>
        </w:rPr>
        <w:t>Once uploaded, Utilities will “submit” data  to State Dashboard</w:t>
      </w:r>
      <w:r w:rsidR="002F455A">
        <w:rPr>
          <w:rFonts w:eastAsia="Times New Roman" w:cstheme="minorHAnsi"/>
        </w:rPr>
        <w:t>, which triggers additional regulatory steps</w:t>
      </w:r>
      <w:r w:rsidRPr="007F7EA9">
        <w:rPr>
          <w:rFonts w:eastAsia="Times New Roman" w:cstheme="minorHAnsi"/>
        </w:rPr>
        <w:t xml:space="preserve">. </w:t>
      </w:r>
      <w:bookmarkStart w:id="1" w:name="_Hlk155872320"/>
      <w:r w:rsidRPr="007F7EA9">
        <w:rPr>
          <w:rFonts w:eastAsia="Times New Roman" w:cstheme="minorHAnsi"/>
        </w:rPr>
        <w:t>Uploading and submitting are separate steps that both happen in the Portal</w:t>
      </w:r>
      <w:bookmarkEnd w:id="1"/>
      <w:r w:rsidRPr="007F7EA9">
        <w:rPr>
          <w:rFonts w:eastAsia="Times New Roman" w:cstheme="minorHAnsi"/>
        </w:rPr>
        <w:t>.</w:t>
      </w:r>
      <w:r w:rsidR="002C7C19">
        <w:rPr>
          <w:rFonts w:eastAsia="Times New Roman" w:cstheme="minorHAnsi"/>
        </w:rPr>
        <w:t xml:space="preserve"> </w:t>
      </w:r>
      <w:bookmarkEnd w:id="0"/>
      <w:r w:rsidR="002F455A">
        <w:rPr>
          <w:rFonts w:eastAsia="Times New Roman" w:cstheme="minorHAnsi"/>
        </w:rPr>
        <w:t>120 Water is the technology company that is managing the Portal on behalf of IDEM.</w:t>
      </w:r>
      <w:r w:rsidR="00975915">
        <w:rPr>
          <w:rFonts w:eastAsia="Times New Roman" w:cstheme="minorHAnsi"/>
        </w:rPr>
        <w:t xml:space="preserve"> To access the Portal, email</w:t>
      </w:r>
      <w:r w:rsidR="00975915" w:rsidRPr="00975915">
        <w:rPr>
          <w:rFonts w:eastAsia="Times New Roman" w:cstheme="minorHAnsi"/>
        </w:rPr>
        <w:t xml:space="preserve"> </w:t>
      </w:r>
      <w:hyperlink r:id="rId10" w:history="1">
        <w:r w:rsidR="00975915" w:rsidRPr="00975915">
          <w:rPr>
            <w:rStyle w:val="Hyperlink"/>
            <w:rFonts w:cstheme="minorHAnsi"/>
            <w:color w:val="0F588F"/>
            <w:shd w:val="clear" w:color="auto" w:fill="FEFEFE"/>
          </w:rPr>
          <w:t>support@120water.com</w:t>
        </w:r>
      </w:hyperlink>
      <w:r w:rsidR="00975915">
        <w:rPr>
          <w:rFonts w:cstheme="minorHAnsi"/>
        </w:rPr>
        <w:t>.</w:t>
      </w:r>
    </w:p>
    <w:p w14:paraId="7F3D0E0E" w14:textId="77777777" w:rsidR="002F455A" w:rsidRPr="00A1737E" w:rsidRDefault="002F455A" w:rsidP="00A1737E">
      <w:pPr>
        <w:pStyle w:val="ListParagraph"/>
        <w:spacing w:after="120"/>
        <w:ind w:left="360"/>
        <w:contextualSpacing w:val="0"/>
      </w:pPr>
    </w:p>
    <w:p w14:paraId="35C3DA34" w14:textId="2EBB8E96" w:rsidR="006737D3" w:rsidRPr="00D753D0" w:rsidRDefault="006737D3" w:rsidP="00D753D0">
      <w:pPr>
        <w:pStyle w:val="ListParagraph"/>
        <w:numPr>
          <w:ilvl w:val="0"/>
          <w:numId w:val="1"/>
        </w:numPr>
        <w:spacing w:after="120"/>
        <w:contextualSpacing w:val="0"/>
      </w:pPr>
      <w:r w:rsidRPr="00AE3FB1">
        <w:rPr>
          <w:b/>
          <w:bCs/>
        </w:rPr>
        <w:t>May I apply for different kinds of Type I, II, or III project</w:t>
      </w:r>
      <w:r w:rsidR="00975915">
        <w:rPr>
          <w:b/>
          <w:bCs/>
        </w:rPr>
        <w:t>s</w:t>
      </w:r>
      <w:r w:rsidRPr="00AE3FB1">
        <w:rPr>
          <w:b/>
          <w:bCs/>
        </w:rPr>
        <w:t xml:space="preserve">? For instance, </w:t>
      </w:r>
      <w:r w:rsidR="000E421A" w:rsidRPr="00AE3FB1">
        <w:rPr>
          <w:b/>
          <w:bCs/>
        </w:rPr>
        <w:t xml:space="preserve">may I </w:t>
      </w:r>
      <w:r w:rsidR="00EC1521" w:rsidRPr="00AE3FB1">
        <w:rPr>
          <w:b/>
          <w:bCs/>
        </w:rPr>
        <w:t>apply</w:t>
      </w:r>
      <w:r w:rsidR="000E421A" w:rsidRPr="00AE3FB1">
        <w:rPr>
          <w:b/>
          <w:bCs/>
        </w:rPr>
        <w:t xml:space="preserve"> </w:t>
      </w:r>
      <w:r w:rsidRPr="00AE3FB1">
        <w:rPr>
          <w:b/>
          <w:bCs/>
        </w:rPr>
        <w:t xml:space="preserve">to do hydro-evacuation work </w:t>
      </w:r>
      <w:r w:rsidR="000E421A" w:rsidRPr="00AE3FB1">
        <w:rPr>
          <w:b/>
          <w:bCs/>
        </w:rPr>
        <w:t xml:space="preserve">(Project Type III) </w:t>
      </w:r>
      <w:r w:rsidRPr="00AE3FB1">
        <w:rPr>
          <w:b/>
          <w:bCs/>
        </w:rPr>
        <w:t xml:space="preserve">and surface testing of service line materials </w:t>
      </w:r>
      <w:r w:rsidR="000E421A" w:rsidRPr="00AE3FB1">
        <w:rPr>
          <w:b/>
          <w:bCs/>
        </w:rPr>
        <w:t xml:space="preserve">(Project Type III) </w:t>
      </w:r>
      <w:r w:rsidRPr="00AE3FB1">
        <w:rPr>
          <w:b/>
          <w:bCs/>
        </w:rPr>
        <w:t>in a single application using different contractors</w:t>
      </w:r>
      <w:r w:rsidR="000E421A" w:rsidRPr="00AE3FB1">
        <w:rPr>
          <w:b/>
          <w:bCs/>
        </w:rPr>
        <w:t>?</w:t>
      </w:r>
    </w:p>
    <w:p w14:paraId="085BCBEE" w14:textId="77777777" w:rsidR="00A1737E" w:rsidRDefault="006737D3" w:rsidP="00A1737E">
      <w:pPr>
        <w:pStyle w:val="ListParagraph"/>
        <w:spacing w:after="120"/>
        <w:ind w:left="360"/>
        <w:contextualSpacing w:val="0"/>
      </w:pPr>
      <w:r w:rsidRPr="00AE3FB1">
        <w:t>Yes. Please provide as much information as possible in the online application. If you need to submit additional info, please email</w:t>
      </w:r>
      <w:r w:rsidRPr="00AE3FB1">
        <w:rPr>
          <w:b/>
          <w:bCs/>
        </w:rPr>
        <w:t xml:space="preserve"> </w:t>
      </w:r>
      <w:hyperlink r:id="rId11" w:history="1">
        <w:r w:rsidR="00D61E01" w:rsidRPr="00107DA6">
          <w:rPr>
            <w:rStyle w:val="Hyperlink"/>
          </w:rPr>
          <w:t>LSLIgrants@ifa.in.gov</w:t>
        </w:r>
      </w:hyperlink>
      <w:r w:rsidRPr="00AE3FB1">
        <w:t>.</w:t>
      </w:r>
      <w:r w:rsidR="00D61E01">
        <w:t xml:space="preserve"> </w:t>
      </w:r>
    </w:p>
    <w:p w14:paraId="74BB46C3" w14:textId="77777777" w:rsidR="00A1737E" w:rsidRDefault="00A1737E" w:rsidP="00A1737E">
      <w:pPr>
        <w:pStyle w:val="ListParagraph"/>
        <w:spacing w:after="120"/>
        <w:ind w:left="360"/>
        <w:contextualSpacing w:val="0"/>
      </w:pPr>
    </w:p>
    <w:p w14:paraId="6AAC5C1B" w14:textId="0C8E527E" w:rsidR="004C66F8" w:rsidRPr="00A1737E" w:rsidRDefault="004C66F8" w:rsidP="00A1737E">
      <w:pPr>
        <w:pStyle w:val="ListParagraph"/>
        <w:numPr>
          <w:ilvl w:val="0"/>
          <w:numId w:val="1"/>
        </w:numPr>
        <w:spacing w:after="120"/>
      </w:pPr>
      <w:r w:rsidRPr="00A1737E">
        <w:rPr>
          <w:b/>
          <w:bCs/>
        </w:rPr>
        <w:t xml:space="preserve">What if I </w:t>
      </w:r>
      <w:r w:rsidR="00AE3FB1" w:rsidRPr="00A1737E">
        <w:rPr>
          <w:b/>
          <w:bCs/>
        </w:rPr>
        <w:t xml:space="preserve">have submitted some but not </w:t>
      </w:r>
      <w:r w:rsidR="00EC1521" w:rsidRPr="00A1737E">
        <w:rPr>
          <w:b/>
          <w:bCs/>
        </w:rPr>
        <w:t>all</w:t>
      </w:r>
      <w:r w:rsidR="00AE3FB1" w:rsidRPr="00A1737E">
        <w:rPr>
          <w:b/>
          <w:bCs/>
        </w:rPr>
        <w:t xml:space="preserve"> inventory data to IDEM. May I apply for a Type II or III Project? </w:t>
      </w:r>
    </w:p>
    <w:p w14:paraId="55DFF41D" w14:textId="5D0912DF" w:rsidR="001F5E99" w:rsidRDefault="00AE3FB1" w:rsidP="00D753D0">
      <w:pPr>
        <w:spacing w:after="120"/>
        <w:ind w:left="360"/>
      </w:pPr>
      <w:r>
        <w:t xml:space="preserve">No. A complete inventory that accounts for </w:t>
      </w:r>
      <w:proofErr w:type="gramStart"/>
      <w:r w:rsidR="00975915">
        <w:t>the majority of</w:t>
      </w:r>
      <w:proofErr w:type="gramEnd"/>
      <w:r w:rsidR="00975915">
        <w:t xml:space="preserve"> </w:t>
      </w:r>
      <w:r>
        <w:t xml:space="preserve">service lines </w:t>
      </w:r>
      <w:r w:rsidR="0042162A">
        <w:t xml:space="preserve">in the service territory </w:t>
      </w:r>
      <w:r>
        <w:t xml:space="preserve">must be </w:t>
      </w:r>
      <w:r w:rsidR="00001373">
        <w:t>uploaded</w:t>
      </w:r>
      <w:r>
        <w:t xml:space="preserve"> to IDEM </w:t>
      </w:r>
      <w:r w:rsidR="00EC1521">
        <w:t>to</w:t>
      </w:r>
      <w:r>
        <w:t xml:space="preserve"> be eligible for Type II or III projects. </w:t>
      </w:r>
      <w:r w:rsidR="001E5F00" w:rsidRPr="001E5F00">
        <w:t>Please note</w:t>
      </w:r>
      <w:r w:rsidR="001E5F00">
        <w:t>,</w:t>
      </w:r>
      <w:r w:rsidR="001E5F00" w:rsidRPr="001E5F00">
        <w:t xml:space="preserve"> the IFA does not expect utilities to have fully complete inventories (in other words, 0% unknown service lines remaining) but IFA does expect the submittal to account for </w:t>
      </w:r>
      <w:proofErr w:type="gramStart"/>
      <w:r w:rsidR="00975915">
        <w:t>the majority</w:t>
      </w:r>
      <w:r w:rsidR="001E5F00" w:rsidRPr="001E5F00">
        <w:t xml:space="preserve"> of</w:t>
      </w:r>
      <w:proofErr w:type="gramEnd"/>
      <w:r w:rsidR="001E5F00" w:rsidRPr="001E5F00">
        <w:t xml:space="preserve"> the services lines in the service territory. </w:t>
      </w:r>
    </w:p>
    <w:p w14:paraId="24410AA0" w14:textId="77777777" w:rsidR="00D753D0" w:rsidRDefault="00D753D0" w:rsidP="00D753D0">
      <w:pPr>
        <w:spacing w:after="120"/>
        <w:ind w:left="360"/>
      </w:pPr>
    </w:p>
    <w:p w14:paraId="31CEE9DF" w14:textId="7173F2EE" w:rsidR="0012758C" w:rsidRDefault="0012758C" w:rsidP="00D753D0">
      <w:pPr>
        <w:pStyle w:val="ListParagraph"/>
        <w:numPr>
          <w:ilvl w:val="0"/>
          <w:numId w:val="1"/>
        </w:numPr>
        <w:spacing w:after="120"/>
        <w:contextualSpacing w:val="0"/>
        <w:rPr>
          <w:b/>
          <w:bCs/>
        </w:rPr>
      </w:pPr>
      <w:r w:rsidRPr="001F5E99">
        <w:rPr>
          <w:b/>
          <w:bCs/>
        </w:rPr>
        <w:t xml:space="preserve">What procurement requirements does the grant have? </w:t>
      </w:r>
    </w:p>
    <w:p w14:paraId="5144E7EF" w14:textId="30293AD8" w:rsidR="001F5E99" w:rsidRDefault="009C0824" w:rsidP="00D753D0">
      <w:pPr>
        <w:spacing w:after="120"/>
        <w:ind w:left="360"/>
      </w:pPr>
      <w:r>
        <w:t xml:space="preserve">The IFA will follow </w:t>
      </w:r>
      <w:r w:rsidR="00975915">
        <w:t>state</w:t>
      </w:r>
      <w:r>
        <w:t xml:space="preserve"> procurement requirements </w:t>
      </w:r>
      <w:r w:rsidR="00975915">
        <w:t xml:space="preserve">for service agreements </w:t>
      </w:r>
      <w:r>
        <w:t xml:space="preserve">when entering into </w:t>
      </w:r>
      <w:r w:rsidR="00975915">
        <w:t xml:space="preserve">an IFA </w:t>
      </w:r>
      <w:r>
        <w:t xml:space="preserve">Professional Service Agreement with Service Providers. </w:t>
      </w:r>
    </w:p>
    <w:p w14:paraId="5E159065" w14:textId="77777777" w:rsidR="00D753D0" w:rsidRPr="001F5E99" w:rsidRDefault="00D753D0" w:rsidP="00D753D0">
      <w:pPr>
        <w:spacing w:after="120"/>
        <w:ind w:left="360"/>
      </w:pPr>
    </w:p>
    <w:p w14:paraId="4F23E42B" w14:textId="5B828EFE" w:rsidR="00EA4254" w:rsidRDefault="00EA4254" w:rsidP="00D753D0">
      <w:pPr>
        <w:pStyle w:val="ListParagraph"/>
        <w:numPr>
          <w:ilvl w:val="0"/>
          <w:numId w:val="1"/>
        </w:numPr>
        <w:spacing w:after="120"/>
        <w:contextualSpacing w:val="0"/>
        <w:rPr>
          <w:b/>
          <w:bCs/>
        </w:rPr>
      </w:pPr>
      <w:r>
        <w:rPr>
          <w:b/>
          <w:bCs/>
        </w:rPr>
        <w:t>Does the grant have a match requirement?</w:t>
      </w:r>
    </w:p>
    <w:p w14:paraId="3AB497F1" w14:textId="5CC9E36C" w:rsidR="001F5E99" w:rsidRDefault="001F5E99" w:rsidP="00D753D0">
      <w:pPr>
        <w:spacing w:after="120"/>
        <w:ind w:firstLine="360"/>
      </w:pPr>
      <w:r>
        <w:t>No</w:t>
      </w:r>
      <w:r w:rsidR="009C0824">
        <w:t>.</w:t>
      </w:r>
      <w:r>
        <w:t xml:space="preserve"> </w:t>
      </w:r>
    </w:p>
    <w:p w14:paraId="48269E0B" w14:textId="77777777" w:rsidR="00D753D0" w:rsidRPr="001F5E99" w:rsidRDefault="00D753D0" w:rsidP="00D753D0">
      <w:pPr>
        <w:spacing w:after="120"/>
        <w:ind w:firstLine="360"/>
      </w:pPr>
    </w:p>
    <w:p w14:paraId="1311EC78" w14:textId="0151CF3A" w:rsidR="0012758C" w:rsidRDefault="0012758C" w:rsidP="00D753D0">
      <w:pPr>
        <w:pStyle w:val="ListParagraph"/>
        <w:numPr>
          <w:ilvl w:val="0"/>
          <w:numId w:val="1"/>
        </w:numPr>
        <w:spacing w:after="120"/>
        <w:contextualSpacing w:val="0"/>
        <w:rPr>
          <w:b/>
          <w:bCs/>
        </w:rPr>
      </w:pPr>
      <w:r>
        <w:rPr>
          <w:b/>
          <w:bCs/>
        </w:rPr>
        <w:t xml:space="preserve">Do other standard SRF provisions apply (Davis Bacon, AIS/BABA, etc.)? </w:t>
      </w:r>
    </w:p>
    <w:p w14:paraId="3A8799F2" w14:textId="5310828E" w:rsidR="001F5E99" w:rsidRDefault="009C0824" w:rsidP="00D753D0">
      <w:pPr>
        <w:spacing w:after="120"/>
        <w:ind w:left="360"/>
      </w:pPr>
      <w:r>
        <w:t>For most projects</w:t>
      </w:r>
      <w:r w:rsidR="00715A8D">
        <w:t xml:space="preserve"> (e.g.</w:t>
      </w:r>
      <w:r w:rsidR="00EC1521">
        <w:t>,</w:t>
      </w:r>
      <w:r w:rsidR="00715A8D">
        <w:t xml:space="preserve"> projects not requiring traditional construction activity)</w:t>
      </w:r>
      <w:r>
        <w:t>, there are no American Iron and Steel, Davis Bacon, or Buy American requirements. Most projects will not require environmental review.</w:t>
      </w:r>
    </w:p>
    <w:p w14:paraId="3B6D7294" w14:textId="460F1606" w:rsidR="004024A3" w:rsidRDefault="004024A3" w:rsidP="00D753D0">
      <w:pPr>
        <w:spacing w:after="120"/>
        <w:ind w:left="360"/>
      </w:pPr>
    </w:p>
    <w:p w14:paraId="5549AAD4" w14:textId="2726E5AF" w:rsidR="004024A3" w:rsidRPr="0014754C" w:rsidRDefault="007037DA" w:rsidP="00A934D2">
      <w:pPr>
        <w:pStyle w:val="ListParagraph"/>
        <w:numPr>
          <w:ilvl w:val="0"/>
          <w:numId w:val="1"/>
        </w:numPr>
        <w:spacing w:after="120"/>
        <w:rPr>
          <w:b/>
          <w:bCs/>
          <w:highlight w:val="yellow"/>
        </w:rPr>
      </w:pPr>
      <w:r>
        <w:rPr>
          <w:b/>
          <w:bCs/>
          <w:highlight w:val="yellow"/>
        </w:rPr>
        <w:t>Does the</w:t>
      </w:r>
      <w:r w:rsidR="004024A3" w:rsidRPr="0014754C">
        <w:rPr>
          <w:b/>
          <w:bCs/>
          <w:highlight w:val="yellow"/>
        </w:rPr>
        <w:t xml:space="preserve"> SRF Asset Management Certification rules apply</w:t>
      </w:r>
      <w:r>
        <w:rPr>
          <w:b/>
          <w:bCs/>
          <w:highlight w:val="yellow"/>
        </w:rPr>
        <w:t xml:space="preserve"> to this program</w:t>
      </w:r>
      <w:r w:rsidR="004024A3" w:rsidRPr="0014754C">
        <w:rPr>
          <w:b/>
          <w:bCs/>
          <w:highlight w:val="yellow"/>
        </w:rPr>
        <w:t>?</w:t>
      </w:r>
    </w:p>
    <w:p w14:paraId="6BE907DD" w14:textId="7788C698" w:rsidR="004024A3" w:rsidRPr="00001373" w:rsidRDefault="00001373" w:rsidP="00A934D2">
      <w:pPr>
        <w:pStyle w:val="ListParagraph"/>
        <w:spacing w:after="120"/>
        <w:ind w:left="360"/>
      </w:pPr>
      <w:r w:rsidRPr="0014754C">
        <w:rPr>
          <w:highlight w:val="yellow"/>
        </w:rPr>
        <w:t xml:space="preserve">No. However for </w:t>
      </w:r>
      <w:r w:rsidR="007037DA">
        <w:rPr>
          <w:highlight w:val="yellow"/>
        </w:rPr>
        <w:t>C</w:t>
      </w:r>
      <w:r w:rsidRPr="0014754C">
        <w:rPr>
          <w:highlight w:val="yellow"/>
        </w:rPr>
        <w:t xml:space="preserve">ompetitively funded Projects </w:t>
      </w:r>
      <w:r w:rsidR="007037DA">
        <w:rPr>
          <w:highlight w:val="yellow"/>
        </w:rPr>
        <w:t>utilities must comply with the IFA</w:t>
      </w:r>
      <w:r w:rsidRPr="0014754C">
        <w:rPr>
          <w:highlight w:val="yellow"/>
        </w:rPr>
        <w:t xml:space="preserve"> </w:t>
      </w:r>
      <w:r w:rsidR="007037DA" w:rsidRPr="0014754C">
        <w:rPr>
          <w:highlight w:val="yellow"/>
        </w:rPr>
        <w:t xml:space="preserve">Water Audit </w:t>
      </w:r>
      <w:r w:rsidRPr="0014754C">
        <w:rPr>
          <w:highlight w:val="yellow"/>
        </w:rPr>
        <w:t xml:space="preserve">and </w:t>
      </w:r>
      <w:r w:rsidR="007037DA" w:rsidRPr="0014754C">
        <w:rPr>
          <w:highlight w:val="yellow"/>
        </w:rPr>
        <w:t xml:space="preserve">Regional Meeting </w:t>
      </w:r>
      <w:r w:rsidR="0014754C" w:rsidRPr="0014754C">
        <w:rPr>
          <w:highlight w:val="yellow"/>
        </w:rPr>
        <w:t>requirements</w:t>
      </w:r>
      <w:r w:rsidR="00DD4ACB">
        <w:rPr>
          <w:highlight w:val="yellow"/>
        </w:rPr>
        <w:t xml:space="preserve"> prior to project completion</w:t>
      </w:r>
      <w:r w:rsidRPr="0014754C">
        <w:rPr>
          <w:highlight w:val="yellow"/>
        </w:rPr>
        <w:t>.</w:t>
      </w:r>
      <w:r w:rsidRPr="00001373">
        <w:t xml:space="preserve"> </w:t>
      </w:r>
    </w:p>
    <w:p w14:paraId="61A658EE" w14:textId="77777777" w:rsidR="007037DA" w:rsidRPr="007037DA" w:rsidRDefault="007037DA" w:rsidP="007037DA">
      <w:pPr>
        <w:pStyle w:val="ListParagraph"/>
        <w:spacing w:after="120"/>
        <w:ind w:left="360"/>
        <w:contextualSpacing w:val="0"/>
      </w:pPr>
    </w:p>
    <w:p w14:paraId="2B015477" w14:textId="7807E342" w:rsidR="0042162A" w:rsidRPr="00EE3969" w:rsidRDefault="0042162A" w:rsidP="0042162A">
      <w:pPr>
        <w:pStyle w:val="ListParagraph"/>
        <w:numPr>
          <w:ilvl w:val="0"/>
          <w:numId w:val="1"/>
        </w:numPr>
        <w:spacing w:after="120"/>
        <w:contextualSpacing w:val="0"/>
      </w:pPr>
      <w:r>
        <w:rPr>
          <w:b/>
          <w:bCs/>
        </w:rPr>
        <w:t xml:space="preserve">What data source should be referenced for population data? </w:t>
      </w:r>
    </w:p>
    <w:p w14:paraId="6D122CEC" w14:textId="34176366" w:rsidR="0042162A" w:rsidRDefault="0042162A" w:rsidP="0042162A">
      <w:pPr>
        <w:pStyle w:val="ListParagraph"/>
        <w:spacing w:after="120"/>
        <w:ind w:left="360"/>
        <w:contextualSpacing w:val="0"/>
      </w:pPr>
      <w:r w:rsidRPr="00EE3969">
        <w:lastRenderedPageBreak/>
        <w:t xml:space="preserve">The IFA </w:t>
      </w:r>
      <w:r>
        <w:t>LSL Inventory</w:t>
      </w:r>
      <w:r w:rsidRPr="00EE3969">
        <w:t xml:space="preserve"> Funding Program will use IDEM’s </w:t>
      </w:r>
      <w:hyperlink r:id="rId12" w:history="1">
        <w:r w:rsidR="00DB3465" w:rsidRPr="00DB3465">
          <w:rPr>
            <w:rStyle w:val="Hyperlink"/>
          </w:rPr>
          <w:t>Drinking Water Viewer</w:t>
        </w:r>
      </w:hyperlink>
      <w:r w:rsidRPr="00EE3969">
        <w:t xml:space="preserve">. </w:t>
      </w:r>
    </w:p>
    <w:p w14:paraId="0D3591C0" w14:textId="66E0FE90" w:rsidR="007B4B3B" w:rsidRPr="00EE3969" w:rsidRDefault="007B4B3B" w:rsidP="007B4B3B">
      <w:pPr>
        <w:pStyle w:val="ListParagraph"/>
        <w:numPr>
          <w:ilvl w:val="0"/>
          <w:numId w:val="1"/>
        </w:numPr>
        <w:spacing w:after="120"/>
        <w:contextualSpacing w:val="0"/>
      </w:pPr>
      <w:r>
        <w:rPr>
          <w:b/>
          <w:bCs/>
        </w:rPr>
        <w:t xml:space="preserve">What data source should be referenced for Median Household Income data? </w:t>
      </w:r>
    </w:p>
    <w:p w14:paraId="42F178AC" w14:textId="332E4CBC" w:rsidR="007B4B3B" w:rsidRPr="007B4B3B" w:rsidRDefault="007B4B3B" w:rsidP="007B4B3B">
      <w:pPr>
        <w:pStyle w:val="ListParagraph"/>
        <w:spacing w:after="120"/>
        <w:ind w:left="360"/>
      </w:pPr>
      <w:r w:rsidRPr="007B4B3B">
        <w:t xml:space="preserve">Use </w:t>
      </w:r>
      <w:r>
        <w:t>“</w:t>
      </w:r>
      <w:r w:rsidRPr="007B4B3B">
        <w:t>Table S1901</w:t>
      </w:r>
      <w:r>
        <w:t xml:space="preserve">: </w:t>
      </w:r>
      <w:r w:rsidR="00721AA3">
        <w:t xml:space="preserve">2017 - </w:t>
      </w:r>
      <w:r w:rsidRPr="007B4B3B">
        <w:t>2021 ACS 5-Year Estimate</w:t>
      </w:r>
      <w:r>
        <w:t xml:space="preserve">” on the </w:t>
      </w:r>
      <w:hyperlink r:id="rId13" w:history="1">
        <w:r w:rsidRPr="007B4B3B">
          <w:rPr>
            <w:rStyle w:val="Hyperlink"/>
          </w:rPr>
          <w:t>Census website</w:t>
        </w:r>
      </w:hyperlink>
      <w:r>
        <w:t xml:space="preserve"> to identify the Median Household Income that best represents the service territory.</w:t>
      </w:r>
    </w:p>
    <w:p w14:paraId="0AB304FA" w14:textId="77777777" w:rsidR="0042162A" w:rsidRDefault="0042162A" w:rsidP="0042162A">
      <w:pPr>
        <w:pStyle w:val="ListParagraph"/>
        <w:spacing w:after="120"/>
        <w:ind w:left="360"/>
        <w:contextualSpacing w:val="0"/>
        <w:rPr>
          <w:b/>
          <w:bCs/>
        </w:rPr>
      </w:pPr>
    </w:p>
    <w:p w14:paraId="1B2D0110" w14:textId="17872BE7" w:rsidR="00F56E1E" w:rsidRPr="00CE20DF" w:rsidRDefault="00F56E1E" w:rsidP="00D753D0">
      <w:pPr>
        <w:pStyle w:val="ListParagraph"/>
        <w:numPr>
          <w:ilvl w:val="0"/>
          <w:numId w:val="1"/>
        </w:numPr>
        <w:spacing w:after="120"/>
        <w:contextualSpacing w:val="0"/>
        <w:rPr>
          <w:b/>
          <w:bCs/>
        </w:rPr>
      </w:pPr>
      <w:r w:rsidRPr="00CE20DF">
        <w:rPr>
          <w:b/>
          <w:bCs/>
        </w:rPr>
        <w:t>What does a “complete, well-defined” Scope of</w:t>
      </w:r>
      <w:r w:rsidR="00A1734F" w:rsidRPr="00CE20DF">
        <w:rPr>
          <w:b/>
          <w:bCs/>
        </w:rPr>
        <w:t xml:space="preserve"> Work mean</w:t>
      </w:r>
      <w:r w:rsidR="00EC0D30">
        <w:rPr>
          <w:b/>
          <w:bCs/>
        </w:rPr>
        <w:t xml:space="preserve"> </w:t>
      </w:r>
      <w:r w:rsidR="0082172E" w:rsidRPr="00CE20DF">
        <w:rPr>
          <w:b/>
          <w:bCs/>
        </w:rPr>
        <w:t>in the Guidance document</w:t>
      </w:r>
      <w:r w:rsidRPr="00CE20DF">
        <w:rPr>
          <w:b/>
          <w:bCs/>
        </w:rPr>
        <w:t xml:space="preserve">? </w:t>
      </w:r>
    </w:p>
    <w:p w14:paraId="288E87D3" w14:textId="31B57597" w:rsidR="00F56E1E" w:rsidRDefault="00A1734F" w:rsidP="00106F7A">
      <w:pPr>
        <w:spacing w:after="120"/>
        <w:ind w:left="360"/>
      </w:pPr>
      <w:r w:rsidRPr="00CE20DF">
        <w:t>It means this information is</w:t>
      </w:r>
      <w:r>
        <w:t xml:space="preserve"> provided:</w:t>
      </w:r>
    </w:p>
    <w:p w14:paraId="7BE3D64B" w14:textId="536A7C49" w:rsidR="00A1734F" w:rsidRPr="009C0824" w:rsidRDefault="00D753D0" w:rsidP="00106F7A">
      <w:pPr>
        <w:pStyle w:val="ListParagraph"/>
        <w:numPr>
          <w:ilvl w:val="1"/>
          <w:numId w:val="3"/>
        </w:numPr>
        <w:spacing w:after="0"/>
        <w:ind w:left="1800"/>
        <w:contextualSpacing w:val="0"/>
      </w:pPr>
      <w:r>
        <w:rPr>
          <w:rFonts w:eastAsia="Times New Roman" w:cstheme="minorHAnsi"/>
        </w:rPr>
        <w:t xml:space="preserve">The </w:t>
      </w:r>
      <w:r w:rsidR="00A1734F" w:rsidRPr="000E474A">
        <w:rPr>
          <w:rFonts w:eastAsia="Times New Roman" w:cstheme="minorHAnsi"/>
        </w:rPr>
        <w:t xml:space="preserve">data </w:t>
      </w:r>
      <w:r>
        <w:rPr>
          <w:rFonts w:eastAsia="Times New Roman" w:cstheme="minorHAnsi"/>
        </w:rPr>
        <w:t xml:space="preserve">that </w:t>
      </w:r>
      <w:r w:rsidR="00A1734F" w:rsidRPr="000E474A">
        <w:rPr>
          <w:rFonts w:eastAsia="Times New Roman" w:cstheme="minorHAnsi"/>
        </w:rPr>
        <w:t>will be</w:t>
      </w:r>
      <w:r w:rsidR="00CE20DF">
        <w:rPr>
          <w:rFonts w:eastAsia="Times New Roman" w:cstheme="minorHAnsi"/>
        </w:rPr>
        <w:t>/was</w:t>
      </w:r>
      <w:r w:rsidR="00A1734F" w:rsidRPr="000E474A">
        <w:rPr>
          <w:rFonts w:eastAsia="Times New Roman" w:cstheme="minorHAnsi"/>
        </w:rPr>
        <w:t xml:space="preserve"> evaluated for the inventory project (i.e., tap cards, billing system data, customer surveys, tax parcel information, etc.) </w:t>
      </w:r>
    </w:p>
    <w:p w14:paraId="650BBE4D" w14:textId="1D4D5507" w:rsidR="009C0824" w:rsidRPr="00254010" w:rsidRDefault="00CE20DF" w:rsidP="00106F7A">
      <w:pPr>
        <w:numPr>
          <w:ilvl w:val="1"/>
          <w:numId w:val="3"/>
        </w:numPr>
        <w:shd w:val="clear" w:color="auto" w:fill="FFFFFF"/>
        <w:spacing w:after="0"/>
        <w:ind w:left="1800"/>
        <w:rPr>
          <w:rFonts w:eastAsia="Times New Roman" w:cstheme="minorHAnsi"/>
        </w:rPr>
      </w:pPr>
      <w:r>
        <w:rPr>
          <w:rFonts w:eastAsia="Times New Roman" w:cstheme="minorHAnsi"/>
        </w:rPr>
        <w:t xml:space="preserve">The </w:t>
      </w:r>
      <w:r w:rsidR="009C0824" w:rsidRPr="00254010">
        <w:rPr>
          <w:rFonts w:eastAsia="Times New Roman" w:cstheme="minorHAnsi"/>
        </w:rPr>
        <w:t>methods you would</w:t>
      </w:r>
      <w:r>
        <w:rPr>
          <w:rFonts w:eastAsia="Times New Roman" w:cstheme="minorHAnsi"/>
        </w:rPr>
        <w:t>/did</w:t>
      </w:r>
      <w:r w:rsidR="009C0824" w:rsidRPr="00254010">
        <w:rPr>
          <w:rFonts w:eastAsia="Times New Roman" w:cstheme="minorHAnsi"/>
        </w:rPr>
        <w:t xml:space="preserve"> utilize to conduct or supplement the </w:t>
      </w:r>
      <w:proofErr w:type="gramStart"/>
      <w:r w:rsidR="009C0824" w:rsidRPr="00254010">
        <w:rPr>
          <w:rFonts w:eastAsia="Times New Roman" w:cstheme="minorHAnsi"/>
        </w:rPr>
        <w:t>inventory</w:t>
      </w:r>
      <w:proofErr w:type="gramEnd"/>
    </w:p>
    <w:p w14:paraId="0CD2783A" w14:textId="0C218C80" w:rsidR="00A1734F" w:rsidRDefault="00CE20DF" w:rsidP="00106F7A">
      <w:pPr>
        <w:numPr>
          <w:ilvl w:val="1"/>
          <w:numId w:val="3"/>
        </w:numPr>
        <w:shd w:val="clear" w:color="auto" w:fill="FFFFFF"/>
        <w:spacing w:after="0"/>
        <w:ind w:left="1800"/>
        <w:rPr>
          <w:rFonts w:eastAsia="Times New Roman" w:cstheme="minorHAnsi"/>
        </w:rPr>
      </w:pPr>
      <w:r>
        <w:rPr>
          <w:rFonts w:eastAsia="Times New Roman" w:cstheme="minorHAnsi"/>
        </w:rPr>
        <w:t xml:space="preserve">The </w:t>
      </w:r>
      <w:r w:rsidR="00A1734F" w:rsidRPr="00254010">
        <w:rPr>
          <w:rFonts w:eastAsia="Times New Roman" w:cstheme="minorHAnsi"/>
        </w:rPr>
        <w:t xml:space="preserve">date you submitted your inventory to </w:t>
      </w:r>
      <w:proofErr w:type="gramStart"/>
      <w:r w:rsidR="00A1734F" w:rsidRPr="00254010">
        <w:rPr>
          <w:rFonts w:eastAsia="Times New Roman" w:cstheme="minorHAnsi"/>
        </w:rPr>
        <w:t>IDEM</w:t>
      </w:r>
      <w:proofErr w:type="gramEnd"/>
    </w:p>
    <w:p w14:paraId="3E442A52" w14:textId="371562FE" w:rsidR="00A1734F" w:rsidRPr="00254010" w:rsidRDefault="00A1734F" w:rsidP="00106F7A">
      <w:pPr>
        <w:numPr>
          <w:ilvl w:val="1"/>
          <w:numId w:val="3"/>
        </w:numPr>
        <w:shd w:val="clear" w:color="auto" w:fill="FFFFFF"/>
        <w:spacing w:after="0"/>
        <w:ind w:left="1800"/>
        <w:rPr>
          <w:rFonts w:eastAsia="Times New Roman" w:cstheme="minorHAnsi"/>
        </w:rPr>
      </w:pPr>
      <w:r>
        <w:rPr>
          <w:rFonts w:eastAsia="Times New Roman" w:cstheme="minorHAnsi"/>
        </w:rPr>
        <w:t xml:space="preserve">For Type III projects, </w:t>
      </w:r>
      <w:r w:rsidRPr="00254010">
        <w:rPr>
          <w:rFonts w:eastAsia="Times New Roman" w:cstheme="minorHAnsi"/>
        </w:rPr>
        <w:t>the methods you w</w:t>
      </w:r>
      <w:r>
        <w:rPr>
          <w:rFonts w:eastAsia="Times New Roman" w:cstheme="minorHAnsi"/>
        </w:rPr>
        <w:t xml:space="preserve">ill </w:t>
      </w:r>
      <w:r w:rsidRPr="00254010">
        <w:rPr>
          <w:rFonts w:eastAsia="Times New Roman" w:cstheme="minorHAnsi"/>
        </w:rPr>
        <w:t>utilize to conduct or supplement the inventory</w:t>
      </w:r>
      <w:r>
        <w:rPr>
          <w:rFonts w:eastAsia="Times New Roman" w:cstheme="minorHAnsi"/>
        </w:rPr>
        <w:t xml:space="preserve"> (e.g., excavation, vacuum/hydro-excavation, surface testing of service line materials)</w:t>
      </w:r>
    </w:p>
    <w:p w14:paraId="5932921F" w14:textId="75E1F3D4" w:rsidR="00E53A55" w:rsidRPr="000E474A" w:rsidRDefault="00E53A55" w:rsidP="00106F7A">
      <w:pPr>
        <w:pStyle w:val="ListParagraph"/>
        <w:numPr>
          <w:ilvl w:val="1"/>
          <w:numId w:val="3"/>
        </w:numPr>
        <w:spacing w:after="0"/>
        <w:ind w:left="1800"/>
        <w:contextualSpacing w:val="0"/>
      </w:pPr>
      <w:r w:rsidRPr="000E474A">
        <w:rPr>
          <w:rFonts w:eastAsia="Times New Roman" w:cstheme="minorHAnsi"/>
        </w:rPr>
        <w:t xml:space="preserve">What geographic areas will be covered by the </w:t>
      </w:r>
      <w:proofErr w:type="gramStart"/>
      <w:r w:rsidRPr="000E474A">
        <w:rPr>
          <w:rFonts w:eastAsia="Times New Roman" w:cstheme="minorHAnsi"/>
        </w:rPr>
        <w:t>project</w:t>
      </w:r>
      <w:proofErr w:type="gramEnd"/>
      <w:r w:rsidRPr="000E474A">
        <w:rPr>
          <w:rFonts w:eastAsia="Times New Roman" w:cstheme="minorHAnsi"/>
        </w:rPr>
        <w:t xml:space="preserve"> </w:t>
      </w:r>
    </w:p>
    <w:p w14:paraId="7AADE56D" w14:textId="6B52AA5D" w:rsidR="00D22D6E" w:rsidRPr="00D22D6E" w:rsidRDefault="00FB2CAB" w:rsidP="00106F7A">
      <w:pPr>
        <w:numPr>
          <w:ilvl w:val="1"/>
          <w:numId w:val="3"/>
        </w:numPr>
        <w:shd w:val="clear" w:color="auto" w:fill="FFFFFF"/>
        <w:spacing w:after="0"/>
        <w:ind w:left="1800"/>
        <w:rPr>
          <w:rFonts w:eastAsia="Times New Roman" w:cstheme="minorHAnsi"/>
        </w:rPr>
      </w:pPr>
      <w:r>
        <w:rPr>
          <w:rFonts w:eastAsia="Times New Roman" w:cstheme="minorHAnsi"/>
        </w:rPr>
        <w:t>Project t</w:t>
      </w:r>
      <w:r w:rsidR="00A1734F">
        <w:rPr>
          <w:rFonts w:eastAsia="Times New Roman" w:cstheme="minorHAnsi"/>
        </w:rPr>
        <w:t xml:space="preserve">imeline </w:t>
      </w:r>
    </w:p>
    <w:p w14:paraId="1B7F40C0" w14:textId="2907B226" w:rsidR="00A1734F" w:rsidRPr="009C0824" w:rsidRDefault="009C0824" w:rsidP="00106F7A">
      <w:pPr>
        <w:numPr>
          <w:ilvl w:val="1"/>
          <w:numId w:val="3"/>
        </w:numPr>
        <w:shd w:val="clear" w:color="auto" w:fill="FFFFFF"/>
        <w:spacing w:after="0"/>
        <w:ind w:left="1800"/>
      </w:pPr>
      <w:r w:rsidRPr="009C0824">
        <w:rPr>
          <w:rFonts w:eastAsia="Times New Roman" w:cstheme="minorHAnsi"/>
        </w:rPr>
        <w:t>Project costs</w:t>
      </w:r>
    </w:p>
    <w:p w14:paraId="274A33FF" w14:textId="169E2875" w:rsidR="009C0824" w:rsidRPr="00721AA3" w:rsidRDefault="009C0824" w:rsidP="00106F7A">
      <w:pPr>
        <w:numPr>
          <w:ilvl w:val="1"/>
          <w:numId w:val="3"/>
        </w:numPr>
        <w:shd w:val="clear" w:color="auto" w:fill="FFFFFF"/>
        <w:spacing w:after="0"/>
        <w:ind w:left="1800"/>
      </w:pPr>
      <w:r>
        <w:rPr>
          <w:rFonts w:eastAsia="Times New Roman" w:cstheme="minorHAnsi"/>
        </w:rPr>
        <w:t xml:space="preserve">If different kinds of Type I, II, III projects are submitted, please itemize. </w:t>
      </w:r>
    </w:p>
    <w:p w14:paraId="1D39B998" w14:textId="5EFA7699" w:rsidR="00721AA3" w:rsidRPr="00721AA3" w:rsidRDefault="00721AA3" w:rsidP="00106F7A">
      <w:pPr>
        <w:numPr>
          <w:ilvl w:val="1"/>
          <w:numId w:val="3"/>
        </w:numPr>
        <w:shd w:val="clear" w:color="auto" w:fill="FFFFFF"/>
        <w:spacing w:after="0"/>
        <w:ind w:left="1800"/>
        <w:rPr>
          <w:highlight w:val="yellow"/>
        </w:rPr>
      </w:pPr>
      <w:r w:rsidRPr="00721AA3">
        <w:rPr>
          <w:rFonts w:eastAsia="Times New Roman" w:cstheme="minorHAnsi"/>
          <w:highlight w:val="yellow"/>
        </w:rPr>
        <w:t>Description of deliverables</w:t>
      </w:r>
    </w:p>
    <w:p w14:paraId="5F486147" w14:textId="364E4C8E" w:rsidR="009C0824" w:rsidRDefault="00D61E01" w:rsidP="00106F7A">
      <w:pPr>
        <w:spacing w:after="120"/>
        <w:ind w:left="360"/>
      </w:pPr>
      <w:r>
        <w:t>Separate scopes, project costs, and scope of work certifications should be provided for each project type included on the application.</w:t>
      </w:r>
    </w:p>
    <w:p w14:paraId="3C68B050" w14:textId="77777777" w:rsidR="005147BA" w:rsidRDefault="005147BA" w:rsidP="00106F7A">
      <w:pPr>
        <w:spacing w:after="120"/>
        <w:ind w:left="360"/>
      </w:pPr>
    </w:p>
    <w:p w14:paraId="3073E148" w14:textId="594A4BC2" w:rsidR="00C82375" w:rsidRDefault="00C82375" w:rsidP="00D753D0">
      <w:pPr>
        <w:pStyle w:val="ListParagraph"/>
        <w:numPr>
          <w:ilvl w:val="0"/>
          <w:numId w:val="1"/>
        </w:numPr>
        <w:spacing w:after="120"/>
        <w:contextualSpacing w:val="0"/>
        <w:rPr>
          <w:b/>
          <w:bCs/>
        </w:rPr>
      </w:pPr>
      <w:r>
        <w:rPr>
          <w:b/>
          <w:bCs/>
        </w:rPr>
        <w:t xml:space="preserve">How many rounds of funding will be available? Can I apply more than once? </w:t>
      </w:r>
    </w:p>
    <w:p w14:paraId="12492E51" w14:textId="56E195F9" w:rsidR="00E166D5" w:rsidRPr="007037DA" w:rsidRDefault="00E166D5" w:rsidP="007037DA">
      <w:pPr>
        <w:spacing w:after="120"/>
        <w:ind w:left="360"/>
        <w:rPr>
          <w:rFonts w:cstheme="minorHAnsi"/>
        </w:rPr>
      </w:pPr>
      <w:r>
        <w:t>IFA will offer two rounds of funding leading up to EPA’s compliance deadline (October 16, 2024).</w:t>
      </w:r>
      <w:r w:rsidR="004A4222">
        <w:t xml:space="preserve"> The IFA will accept one</w:t>
      </w:r>
      <w:r>
        <w:t xml:space="preserve"> application per </w:t>
      </w:r>
      <w:r w:rsidR="005C0039">
        <w:t xml:space="preserve">PWSID per </w:t>
      </w:r>
      <w:r>
        <w:t>round</w:t>
      </w:r>
      <w:r w:rsidR="00F56E1E">
        <w:t xml:space="preserve">, with multiple </w:t>
      </w:r>
      <w:r w:rsidR="00E56583">
        <w:t>P</w:t>
      </w:r>
      <w:r w:rsidR="00F56E1E">
        <w:t xml:space="preserve">roject </w:t>
      </w:r>
      <w:r w:rsidR="00E56583">
        <w:t>T</w:t>
      </w:r>
      <w:r w:rsidR="00F56E1E">
        <w:t xml:space="preserve">ypes </w:t>
      </w:r>
      <w:r w:rsidR="00CE20DF">
        <w:t xml:space="preserve">in each </w:t>
      </w:r>
      <w:r w:rsidR="00CE20DF" w:rsidRPr="004A4222">
        <w:t>application</w:t>
      </w:r>
      <w:r w:rsidRPr="004A4222">
        <w:t xml:space="preserve">. </w:t>
      </w:r>
      <w:r w:rsidR="00E56583">
        <w:t xml:space="preserve">Each </w:t>
      </w:r>
      <w:r w:rsidR="004024A3">
        <w:t xml:space="preserve">Project Type will have </w:t>
      </w:r>
      <w:r w:rsidR="00E56583">
        <w:t xml:space="preserve">its </w:t>
      </w:r>
      <w:r w:rsidR="004024A3">
        <w:t>own section on the application and will be reviewed</w:t>
      </w:r>
      <w:r w:rsidR="00E56583">
        <w:t xml:space="preserve"> and awarded, if applicable,</w:t>
      </w:r>
      <w:r w:rsidR="004024A3">
        <w:t xml:space="preserve"> separately. </w:t>
      </w:r>
      <w:r w:rsidR="004A4222" w:rsidRPr="004A4222">
        <w:t>Please</w:t>
      </w:r>
      <w:r w:rsidR="004A4222" w:rsidRPr="00124EA7">
        <w:t xml:space="preserve"> note</w:t>
      </w:r>
      <w:r w:rsidR="004A4222">
        <w:t>,</w:t>
      </w:r>
      <w:r w:rsidR="004A4222" w:rsidRPr="00124EA7">
        <w:t xml:space="preserve"> the funding levels in Table 1 are the maximum amount </w:t>
      </w:r>
      <w:r w:rsidR="004A4222">
        <w:t>a</w:t>
      </w:r>
      <w:r w:rsidR="004A4222" w:rsidRPr="00124EA7">
        <w:t xml:space="preserve"> utility can apply for in the </w:t>
      </w:r>
      <w:r w:rsidR="004A4222" w:rsidRPr="007037DA">
        <w:rPr>
          <w:rFonts w:cstheme="minorHAnsi"/>
        </w:rPr>
        <w:t>IFA LSL Inventory Funding Program Round 1 and Round 2.</w:t>
      </w:r>
    </w:p>
    <w:p w14:paraId="722526CA" w14:textId="23418359" w:rsidR="007037DA" w:rsidRDefault="007037DA" w:rsidP="00B65DA7">
      <w:pPr>
        <w:spacing w:after="120"/>
        <w:ind w:left="360"/>
        <w:rPr>
          <w:rFonts w:eastAsia="Times New Roman" w:cstheme="minorHAnsi"/>
          <w:color w:val="0A0A0A"/>
        </w:rPr>
      </w:pPr>
      <w:r w:rsidRPr="00B65DA7">
        <w:rPr>
          <w:rFonts w:eastAsia="Times New Roman" w:cstheme="minorHAnsi"/>
          <w:color w:val="0A0A0A"/>
          <w:highlight w:val="yellow"/>
        </w:rPr>
        <w:t>The Round 1 application period was from April 24 to June 9, 2023 . The application period for Round 2 will be open from January 1</w:t>
      </w:r>
      <w:r w:rsidR="00721AA3">
        <w:rPr>
          <w:rFonts w:eastAsia="Times New Roman" w:cstheme="minorHAnsi"/>
          <w:color w:val="0A0A0A"/>
          <w:highlight w:val="yellow"/>
        </w:rPr>
        <w:t>7</w:t>
      </w:r>
      <w:r w:rsidR="00B65DA7" w:rsidRPr="00B65DA7">
        <w:rPr>
          <w:rFonts w:eastAsia="Times New Roman" w:cstheme="minorHAnsi"/>
          <w:color w:val="0A0A0A"/>
          <w:highlight w:val="yellow"/>
        </w:rPr>
        <w:t xml:space="preserve"> </w:t>
      </w:r>
      <w:r w:rsidR="00B65DA7">
        <w:rPr>
          <w:rFonts w:eastAsia="Times New Roman" w:cstheme="minorHAnsi"/>
          <w:color w:val="0A0A0A"/>
          <w:highlight w:val="yellow"/>
        </w:rPr>
        <w:t>to</w:t>
      </w:r>
      <w:r w:rsidRPr="00B65DA7">
        <w:rPr>
          <w:rFonts w:eastAsia="Times New Roman" w:cstheme="minorHAnsi"/>
          <w:color w:val="0A0A0A"/>
          <w:highlight w:val="yellow"/>
        </w:rPr>
        <w:t xml:space="preserve"> February 29, 2024. A third round is not currently anticipated. </w:t>
      </w:r>
    </w:p>
    <w:p w14:paraId="203F1189" w14:textId="32DB1022" w:rsidR="00C83D02" w:rsidRDefault="00C83D02">
      <w:pPr>
        <w:rPr>
          <w:rFonts w:eastAsia="Times New Roman" w:cstheme="minorHAnsi"/>
          <w:color w:val="0A0A0A"/>
        </w:rPr>
      </w:pPr>
      <w:r>
        <w:rPr>
          <w:rFonts w:eastAsia="Times New Roman" w:cstheme="minorHAnsi"/>
          <w:color w:val="0A0A0A"/>
        </w:rPr>
        <w:br w:type="page"/>
      </w:r>
    </w:p>
    <w:p w14:paraId="1C2AE4CC" w14:textId="77777777" w:rsidR="00EC0D30" w:rsidRDefault="00EC0D30" w:rsidP="00EC0D30">
      <w:pPr>
        <w:pStyle w:val="Heading3"/>
        <w:rPr>
          <w:rFonts w:eastAsia="Times New Roman"/>
        </w:rPr>
      </w:pPr>
      <w:r w:rsidRPr="00BC354E">
        <w:rPr>
          <w:rFonts w:eastAsia="Times New Roman"/>
          <w:b/>
          <w:bCs/>
          <w:highlight w:val="yellow"/>
        </w:rPr>
        <w:lastRenderedPageBreak/>
        <w:t xml:space="preserve">Table 1. </w:t>
      </w:r>
      <w:bookmarkStart w:id="2" w:name="_Hlk129195040"/>
      <w:r w:rsidRPr="00C449FF">
        <w:rPr>
          <w:rFonts w:eastAsia="Times New Roman"/>
          <w:highlight w:val="yellow"/>
        </w:rPr>
        <w:t>Maximum amount of fund</w:t>
      </w:r>
      <w:r>
        <w:rPr>
          <w:rFonts w:eastAsia="Times New Roman"/>
          <w:highlight w:val="yellow"/>
        </w:rPr>
        <w:t>s</w:t>
      </w:r>
      <w:r w:rsidRPr="00C449FF">
        <w:rPr>
          <w:rFonts w:eastAsia="Times New Roman"/>
          <w:highlight w:val="yellow"/>
        </w:rPr>
        <w:t xml:space="preserve"> available for Round 1 and 2 by utility size, funding (noncompetitive vs. competitive) and project type.</w:t>
      </w:r>
      <w:bookmarkEnd w:id="2"/>
    </w:p>
    <w:tbl>
      <w:tblPr>
        <w:tblW w:w="5000" w:type="pct"/>
        <w:tblCellMar>
          <w:left w:w="0" w:type="dxa"/>
          <w:right w:w="0" w:type="dxa"/>
        </w:tblCellMar>
        <w:tblLook w:val="04A0" w:firstRow="1" w:lastRow="0" w:firstColumn="1" w:lastColumn="0" w:noHBand="0" w:noVBand="1"/>
      </w:tblPr>
      <w:tblGrid>
        <w:gridCol w:w="1520"/>
        <w:gridCol w:w="1805"/>
        <w:gridCol w:w="958"/>
        <w:gridCol w:w="958"/>
        <w:gridCol w:w="958"/>
        <w:gridCol w:w="3861"/>
      </w:tblGrid>
      <w:tr w:rsidR="00EC0D30" w14:paraId="119031F6" w14:textId="77777777" w:rsidTr="00A03C85">
        <w:trPr>
          <w:trHeight w:val="695"/>
        </w:trPr>
        <w:tc>
          <w:tcPr>
            <w:tcW w:w="755" w:type="pct"/>
            <w:vMerge w:val="restart"/>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center"/>
            <w:hideMark/>
          </w:tcPr>
          <w:p w14:paraId="34982E57" w14:textId="77777777" w:rsidR="00EC0D30" w:rsidRPr="00A56B8B" w:rsidRDefault="00EC0D30" w:rsidP="00A03C85">
            <w:pPr>
              <w:jc w:val="center"/>
              <w:rPr>
                <w:b/>
                <w:bCs/>
                <w:sz w:val="24"/>
                <w:szCs w:val="24"/>
              </w:rPr>
            </w:pPr>
            <w:r w:rsidRPr="00A56B8B">
              <w:rPr>
                <w:b/>
                <w:bCs/>
                <w:color w:val="000000"/>
                <w:sz w:val="24"/>
                <w:szCs w:val="24"/>
              </w:rPr>
              <w:t>IFA Water System Type</w:t>
            </w:r>
          </w:p>
        </w:tc>
        <w:tc>
          <w:tcPr>
            <w:tcW w:w="897" w:type="pct"/>
            <w:vMerge w:val="restart"/>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4D369D57" w14:textId="77777777" w:rsidR="00EC0D30" w:rsidRPr="00A56B8B" w:rsidRDefault="00EC0D30" w:rsidP="00A03C85">
            <w:pPr>
              <w:jc w:val="center"/>
              <w:rPr>
                <w:b/>
                <w:bCs/>
                <w:sz w:val="24"/>
                <w:szCs w:val="24"/>
              </w:rPr>
            </w:pPr>
            <w:r w:rsidRPr="00A56B8B">
              <w:rPr>
                <w:b/>
                <w:bCs/>
                <w:color w:val="000000"/>
                <w:sz w:val="24"/>
                <w:szCs w:val="24"/>
              </w:rPr>
              <w:t>Number of Service Lines</w:t>
            </w:r>
          </w:p>
        </w:tc>
        <w:tc>
          <w:tcPr>
            <w:tcW w:w="1428" w:type="pct"/>
            <w:gridSpan w:val="3"/>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433EF55C" w14:textId="77777777" w:rsidR="00EC0D30" w:rsidRPr="00A56B8B" w:rsidRDefault="00EC0D30" w:rsidP="00A03C85">
            <w:pPr>
              <w:jc w:val="center"/>
              <w:rPr>
                <w:b/>
                <w:bCs/>
                <w:sz w:val="24"/>
                <w:szCs w:val="24"/>
              </w:rPr>
            </w:pPr>
            <w:r w:rsidRPr="00A56B8B">
              <w:rPr>
                <w:b/>
                <w:bCs/>
                <w:color w:val="000000"/>
                <w:sz w:val="24"/>
                <w:szCs w:val="24"/>
                <w:u w:val="single"/>
              </w:rPr>
              <w:t>Noncompetitive</w:t>
            </w:r>
            <w:r w:rsidRPr="00A56B8B">
              <w:rPr>
                <w:b/>
                <w:bCs/>
                <w:color w:val="000000"/>
                <w:sz w:val="24"/>
                <w:szCs w:val="24"/>
              </w:rPr>
              <w:t xml:space="preserve"> Funds </w:t>
            </w:r>
          </w:p>
        </w:tc>
        <w:tc>
          <w:tcPr>
            <w:tcW w:w="1919" w:type="pct"/>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6157B3B2" w14:textId="77777777" w:rsidR="00EC0D30" w:rsidRPr="00A56B8B" w:rsidRDefault="00EC0D30" w:rsidP="00A03C85">
            <w:pPr>
              <w:jc w:val="center"/>
              <w:rPr>
                <w:b/>
                <w:bCs/>
                <w:sz w:val="24"/>
                <w:szCs w:val="24"/>
              </w:rPr>
            </w:pPr>
            <w:r w:rsidRPr="00D81B32">
              <w:rPr>
                <w:b/>
                <w:bCs/>
                <w:color w:val="000000"/>
                <w:sz w:val="24"/>
                <w:szCs w:val="24"/>
                <w:u w:val="single"/>
              </w:rPr>
              <w:t>Competitively Awarded</w:t>
            </w:r>
            <w:r w:rsidRPr="00A56B8B">
              <w:rPr>
                <w:b/>
                <w:bCs/>
                <w:color w:val="000000"/>
                <w:sz w:val="24"/>
                <w:szCs w:val="24"/>
              </w:rPr>
              <w:t xml:space="preserve"> Funds</w:t>
            </w:r>
          </w:p>
          <w:p w14:paraId="7C95955E" w14:textId="77777777" w:rsidR="00EC0D30" w:rsidRPr="00A56B8B" w:rsidRDefault="00EC0D30" w:rsidP="00A03C85">
            <w:pPr>
              <w:jc w:val="center"/>
              <w:rPr>
                <w:i/>
                <w:iCs/>
                <w:sz w:val="24"/>
                <w:szCs w:val="24"/>
              </w:rPr>
            </w:pPr>
          </w:p>
        </w:tc>
      </w:tr>
      <w:tr w:rsidR="00EC0D30" w14:paraId="41859B7B" w14:textId="77777777" w:rsidTr="00A03C85">
        <w:trPr>
          <w:trHeight w:val="497"/>
        </w:trPr>
        <w:tc>
          <w:tcPr>
            <w:tcW w:w="755" w:type="pct"/>
            <w:vMerge/>
            <w:tcBorders>
              <w:top w:val="single" w:sz="8" w:space="0" w:color="auto"/>
              <w:left w:val="single" w:sz="8" w:space="0" w:color="auto"/>
              <w:bottom w:val="single" w:sz="8" w:space="0" w:color="auto"/>
              <w:right w:val="single" w:sz="8" w:space="0" w:color="auto"/>
            </w:tcBorders>
            <w:vAlign w:val="center"/>
            <w:hideMark/>
          </w:tcPr>
          <w:p w14:paraId="63D952C0" w14:textId="77777777" w:rsidR="00EC0D30" w:rsidRPr="00A56B8B" w:rsidRDefault="00EC0D30" w:rsidP="00A03C85">
            <w:pPr>
              <w:rPr>
                <w:rFonts w:ascii="Calibri" w:hAnsi="Calibri" w:cs="Calibri"/>
                <w:b/>
                <w:bCs/>
                <w:sz w:val="24"/>
                <w:szCs w:val="24"/>
                <w14:ligatures w14:val="standardContextual"/>
              </w:rPr>
            </w:pPr>
          </w:p>
        </w:tc>
        <w:tc>
          <w:tcPr>
            <w:tcW w:w="897" w:type="pct"/>
            <w:vMerge/>
            <w:tcBorders>
              <w:top w:val="single" w:sz="8" w:space="0" w:color="auto"/>
              <w:left w:val="nil"/>
              <w:bottom w:val="single" w:sz="8" w:space="0" w:color="auto"/>
              <w:right w:val="single" w:sz="8" w:space="0" w:color="auto"/>
            </w:tcBorders>
            <w:vAlign w:val="center"/>
            <w:hideMark/>
          </w:tcPr>
          <w:p w14:paraId="23488C48" w14:textId="77777777" w:rsidR="00EC0D30" w:rsidRPr="00A56B8B" w:rsidRDefault="00EC0D30" w:rsidP="00A03C85">
            <w:pPr>
              <w:rPr>
                <w:rFonts w:ascii="Calibri" w:hAnsi="Calibri" w:cs="Calibri"/>
                <w:b/>
                <w:bCs/>
                <w:sz w:val="24"/>
                <w:szCs w:val="24"/>
                <w14:ligatures w14:val="standardContextual"/>
              </w:rPr>
            </w:pPr>
          </w:p>
        </w:tc>
        <w:tc>
          <w:tcPr>
            <w:tcW w:w="476"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313A7BA7" w14:textId="77777777" w:rsidR="00EC0D30" w:rsidRPr="00A56B8B" w:rsidRDefault="00EC0D30" w:rsidP="00A03C85">
            <w:pPr>
              <w:jc w:val="center"/>
              <w:rPr>
                <w:b/>
                <w:bCs/>
                <w:sz w:val="24"/>
                <w:szCs w:val="24"/>
              </w:rPr>
            </w:pPr>
            <w:r w:rsidRPr="00A56B8B">
              <w:rPr>
                <w:b/>
                <w:bCs/>
                <w:color w:val="000000"/>
                <w:sz w:val="24"/>
                <w:szCs w:val="24"/>
              </w:rPr>
              <w:t xml:space="preserve">Type I </w:t>
            </w:r>
          </w:p>
        </w:tc>
        <w:tc>
          <w:tcPr>
            <w:tcW w:w="476"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2BA672D0" w14:textId="77777777" w:rsidR="00EC0D30" w:rsidRPr="00A56B8B" w:rsidRDefault="00EC0D30" w:rsidP="00A03C85">
            <w:pPr>
              <w:jc w:val="center"/>
              <w:rPr>
                <w:b/>
                <w:bCs/>
                <w:sz w:val="24"/>
                <w:szCs w:val="24"/>
              </w:rPr>
            </w:pPr>
            <w:r w:rsidRPr="00A56B8B">
              <w:rPr>
                <w:b/>
                <w:bCs/>
                <w:color w:val="000000"/>
                <w:sz w:val="24"/>
                <w:szCs w:val="24"/>
              </w:rPr>
              <w:t>Type II</w:t>
            </w:r>
          </w:p>
        </w:tc>
        <w:tc>
          <w:tcPr>
            <w:tcW w:w="476"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2B8F516F" w14:textId="77777777" w:rsidR="00EC0D30" w:rsidRPr="00A56B8B" w:rsidRDefault="00EC0D30" w:rsidP="00A03C85">
            <w:pPr>
              <w:jc w:val="center"/>
              <w:rPr>
                <w:b/>
                <w:bCs/>
                <w:sz w:val="24"/>
                <w:szCs w:val="24"/>
              </w:rPr>
            </w:pPr>
            <w:r w:rsidRPr="00A56B8B">
              <w:rPr>
                <w:b/>
                <w:bCs/>
                <w:color w:val="000000"/>
                <w:sz w:val="24"/>
                <w:szCs w:val="24"/>
              </w:rPr>
              <w:t>Type III</w:t>
            </w:r>
          </w:p>
        </w:tc>
        <w:tc>
          <w:tcPr>
            <w:tcW w:w="1919"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3433C7D2" w14:textId="77777777" w:rsidR="00EC0D30" w:rsidRPr="00A56B8B" w:rsidRDefault="00EC0D30" w:rsidP="00A03C85">
            <w:pPr>
              <w:jc w:val="center"/>
              <w:rPr>
                <w:b/>
                <w:bCs/>
                <w:sz w:val="24"/>
                <w:szCs w:val="24"/>
              </w:rPr>
            </w:pPr>
            <w:r w:rsidRPr="00A56B8B">
              <w:rPr>
                <w:b/>
                <w:bCs/>
                <w:color w:val="000000"/>
                <w:sz w:val="24"/>
                <w:szCs w:val="24"/>
              </w:rPr>
              <w:t>Type III</w:t>
            </w:r>
          </w:p>
        </w:tc>
      </w:tr>
      <w:tr w:rsidR="00EC0D30" w14:paraId="1A16E89E" w14:textId="77777777" w:rsidTr="00A03C85">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3DAA8F81" w14:textId="77777777" w:rsidR="00EC0D30" w:rsidRPr="00A3592F" w:rsidRDefault="00EC0D30" w:rsidP="00A03C85">
            <w:pPr>
              <w:jc w:val="center"/>
              <w:rPr>
                <w:sz w:val="24"/>
                <w:szCs w:val="24"/>
                <w:highlight w:val="yellow"/>
              </w:rPr>
            </w:pPr>
            <w:r w:rsidRPr="00A3592F">
              <w:rPr>
                <w:color w:val="000000"/>
                <w:sz w:val="24"/>
                <w:szCs w:val="24"/>
                <w:highlight w:val="yellow"/>
              </w:rPr>
              <w:t>CWS 0</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3502F30" w14:textId="77777777" w:rsidR="00EC0D30" w:rsidRPr="00A3592F" w:rsidRDefault="00EC0D30" w:rsidP="00A03C85">
            <w:pPr>
              <w:jc w:val="center"/>
              <w:rPr>
                <w:sz w:val="24"/>
                <w:szCs w:val="24"/>
                <w:highlight w:val="yellow"/>
              </w:rPr>
            </w:pPr>
            <w:r w:rsidRPr="00A3592F">
              <w:rPr>
                <w:color w:val="000000"/>
                <w:sz w:val="24"/>
                <w:szCs w:val="24"/>
                <w:highlight w:val="yellow"/>
              </w:rPr>
              <w:t>700-1000</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462F30C9" w14:textId="77777777" w:rsidR="00EC0D30" w:rsidRPr="00A3592F" w:rsidRDefault="00EC0D30" w:rsidP="00A03C85">
            <w:pPr>
              <w:jc w:val="center"/>
              <w:rPr>
                <w:sz w:val="24"/>
                <w:szCs w:val="24"/>
                <w:highlight w:val="yellow"/>
              </w:rPr>
            </w:pPr>
            <w:r w:rsidRPr="00A3592F">
              <w:rPr>
                <w:color w:val="000000"/>
                <w:sz w:val="24"/>
                <w:szCs w:val="24"/>
                <w:highlight w:val="yellow"/>
              </w:rPr>
              <w:t>$15,000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1B6F5B86" w14:textId="77777777" w:rsidR="00EC0D30" w:rsidRPr="00A3592F" w:rsidRDefault="00EC0D30" w:rsidP="00A03C85">
            <w:pPr>
              <w:jc w:val="center"/>
              <w:rPr>
                <w:sz w:val="24"/>
                <w:szCs w:val="24"/>
                <w:highlight w:val="yellow"/>
              </w:rPr>
            </w:pPr>
            <w:r w:rsidRPr="00A3592F">
              <w:rPr>
                <w:color w:val="000000"/>
                <w:sz w:val="24"/>
                <w:szCs w:val="24"/>
                <w:highlight w:val="yellow"/>
              </w:rPr>
              <w:t>N/A; available from the Alliance</w:t>
            </w:r>
            <w:r>
              <w:rPr>
                <w:rStyle w:val="FootnoteReference"/>
                <w:color w:val="000000"/>
                <w:sz w:val="24"/>
                <w:szCs w:val="24"/>
                <w:highlight w:val="yellow"/>
              </w:rPr>
              <w:footnoteReference w:id="1"/>
            </w:r>
          </w:p>
        </w:tc>
      </w:tr>
      <w:tr w:rsidR="00EC0D30" w14:paraId="71523E04" w14:textId="77777777" w:rsidTr="00A03C85">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7BE6AD11" w14:textId="77777777" w:rsidR="00EC0D30" w:rsidRPr="00A56B8B" w:rsidRDefault="00EC0D30" w:rsidP="00A03C85">
            <w:pPr>
              <w:jc w:val="center"/>
              <w:rPr>
                <w:sz w:val="24"/>
                <w:szCs w:val="24"/>
              </w:rPr>
            </w:pPr>
            <w:r w:rsidRPr="00A56B8B">
              <w:rPr>
                <w:color w:val="000000"/>
                <w:sz w:val="24"/>
                <w:szCs w:val="24"/>
              </w:rPr>
              <w:t>CWS 1</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B8A63CE" w14:textId="77777777" w:rsidR="00EC0D30" w:rsidRPr="00A56B8B" w:rsidRDefault="00EC0D30" w:rsidP="00A03C85">
            <w:pPr>
              <w:jc w:val="center"/>
              <w:rPr>
                <w:sz w:val="24"/>
                <w:szCs w:val="24"/>
              </w:rPr>
            </w:pPr>
            <w:r w:rsidRPr="00A56B8B">
              <w:rPr>
                <w:color w:val="000000"/>
                <w:sz w:val="24"/>
                <w:szCs w:val="24"/>
              </w:rPr>
              <w:t>1001-5000</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6723AEC6" w14:textId="77777777" w:rsidR="00EC0D30" w:rsidRPr="00A56B8B" w:rsidRDefault="00EC0D30" w:rsidP="00A03C85">
            <w:pPr>
              <w:jc w:val="center"/>
              <w:rPr>
                <w:sz w:val="24"/>
                <w:szCs w:val="24"/>
              </w:rPr>
            </w:pPr>
            <w:r w:rsidRPr="00A56B8B">
              <w:rPr>
                <w:color w:val="000000"/>
                <w:sz w:val="24"/>
                <w:szCs w:val="24"/>
              </w:rPr>
              <w:t>$25,000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5EF4D312" w14:textId="77777777" w:rsidR="00EC0D30" w:rsidRPr="00A56B8B" w:rsidRDefault="00EC0D30" w:rsidP="00A03C85">
            <w:pPr>
              <w:jc w:val="center"/>
              <w:rPr>
                <w:sz w:val="24"/>
                <w:szCs w:val="24"/>
              </w:rPr>
            </w:pPr>
            <w:r w:rsidRPr="00A56B8B">
              <w:rPr>
                <w:color w:val="000000"/>
                <w:sz w:val="24"/>
                <w:szCs w:val="24"/>
              </w:rPr>
              <w:t>$100,000</w:t>
            </w:r>
          </w:p>
        </w:tc>
      </w:tr>
      <w:tr w:rsidR="00EC0D30" w14:paraId="481E488F" w14:textId="77777777" w:rsidTr="00A03C85">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7B220F8B" w14:textId="77777777" w:rsidR="00EC0D30" w:rsidRPr="00A56B8B" w:rsidRDefault="00EC0D30" w:rsidP="00A03C85">
            <w:pPr>
              <w:jc w:val="center"/>
              <w:rPr>
                <w:sz w:val="24"/>
                <w:szCs w:val="24"/>
              </w:rPr>
            </w:pPr>
            <w:r w:rsidRPr="00A56B8B">
              <w:rPr>
                <w:color w:val="000000"/>
                <w:sz w:val="24"/>
                <w:szCs w:val="24"/>
              </w:rPr>
              <w:t>CWS 2</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64BB3D82" w14:textId="77777777" w:rsidR="00EC0D30" w:rsidRPr="00A56B8B" w:rsidRDefault="00EC0D30" w:rsidP="00A03C85">
            <w:pPr>
              <w:jc w:val="center"/>
              <w:rPr>
                <w:sz w:val="24"/>
                <w:szCs w:val="24"/>
              </w:rPr>
            </w:pPr>
            <w:r w:rsidRPr="00A56B8B">
              <w:rPr>
                <w:color w:val="000000"/>
                <w:sz w:val="24"/>
                <w:szCs w:val="24"/>
              </w:rPr>
              <w:t>5001-10000</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7E33815C" w14:textId="77777777" w:rsidR="00EC0D30" w:rsidRPr="00A56B8B" w:rsidRDefault="00EC0D30" w:rsidP="00A03C85">
            <w:pPr>
              <w:jc w:val="center"/>
              <w:rPr>
                <w:sz w:val="24"/>
                <w:szCs w:val="24"/>
              </w:rPr>
            </w:pPr>
            <w:r w:rsidRPr="00A56B8B">
              <w:rPr>
                <w:color w:val="000000"/>
                <w:sz w:val="24"/>
                <w:szCs w:val="24"/>
              </w:rPr>
              <w:t>$35,000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18F69E29" w14:textId="77777777" w:rsidR="00EC0D30" w:rsidRPr="00A56B8B" w:rsidRDefault="00EC0D30" w:rsidP="00A03C85">
            <w:pPr>
              <w:jc w:val="center"/>
              <w:rPr>
                <w:sz w:val="24"/>
                <w:szCs w:val="24"/>
              </w:rPr>
            </w:pPr>
            <w:r w:rsidRPr="00A56B8B">
              <w:rPr>
                <w:color w:val="000000"/>
                <w:sz w:val="24"/>
                <w:szCs w:val="24"/>
              </w:rPr>
              <w:t>$200,000</w:t>
            </w:r>
          </w:p>
        </w:tc>
      </w:tr>
      <w:tr w:rsidR="00EC0D30" w14:paraId="510F024E" w14:textId="77777777" w:rsidTr="00A03C85">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4CD28298" w14:textId="77777777" w:rsidR="00EC0D30" w:rsidRPr="00A56B8B" w:rsidRDefault="00EC0D30" w:rsidP="00A03C85">
            <w:pPr>
              <w:jc w:val="center"/>
              <w:rPr>
                <w:sz w:val="24"/>
                <w:szCs w:val="24"/>
              </w:rPr>
            </w:pPr>
            <w:r w:rsidRPr="00A56B8B">
              <w:rPr>
                <w:color w:val="000000"/>
                <w:sz w:val="24"/>
                <w:szCs w:val="24"/>
              </w:rPr>
              <w:t>CWS 3</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42E8E998" w14:textId="77777777" w:rsidR="00EC0D30" w:rsidRPr="00A56B8B" w:rsidRDefault="00EC0D30" w:rsidP="00A03C85">
            <w:pPr>
              <w:jc w:val="center"/>
              <w:rPr>
                <w:sz w:val="24"/>
                <w:szCs w:val="24"/>
              </w:rPr>
            </w:pPr>
            <w:r w:rsidRPr="00A56B8B">
              <w:rPr>
                <w:color w:val="000000"/>
                <w:sz w:val="24"/>
                <w:szCs w:val="24"/>
              </w:rPr>
              <w:t>10001-15000</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7C564707" w14:textId="77777777" w:rsidR="00EC0D30" w:rsidRPr="00A56B8B" w:rsidRDefault="00EC0D30" w:rsidP="00A03C85">
            <w:pPr>
              <w:jc w:val="center"/>
              <w:rPr>
                <w:sz w:val="24"/>
                <w:szCs w:val="24"/>
              </w:rPr>
            </w:pPr>
            <w:r w:rsidRPr="00A56B8B">
              <w:rPr>
                <w:color w:val="000000"/>
                <w:sz w:val="24"/>
                <w:szCs w:val="24"/>
              </w:rPr>
              <w:t>$45,000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14EFDD71" w14:textId="77777777" w:rsidR="00EC0D30" w:rsidRPr="00A56B8B" w:rsidRDefault="00EC0D30" w:rsidP="00A03C85">
            <w:pPr>
              <w:jc w:val="center"/>
              <w:rPr>
                <w:sz w:val="24"/>
                <w:szCs w:val="24"/>
              </w:rPr>
            </w:pPr>
            <w:r w:rsidRPr="00A56B8B">
              <w:rPr>
                <w:color w:val="000000"/>
                <w:sz w:val="24"/>
                <w:szCs w:val="24"/>
              </w:rPr>
              <w:t>$300,000</w:t>
            </w:r>
          </w:p>
        </w:tc>
      </w:tr>
      <w:tr w:rsidR="00EC0D30" w14:paraId="3354989E" w14:textId="77777777" w:rsidTr="00A03C85">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47D84466" w14:textId="77777777" w:rsidR="00EC0D30" w:rsidRPr="00A56B8B" w:rsidRDefault="00EC0D30" w:rsidP="00A03C85">
            <w:pPr>
              <w:jc w:val="center"/>
              <w:rPr>
                <w:sz w:val="24"/>
                <w:szCs w:val="24"/>
              </w:rPr>
            </w:pPr>
            <w:r w:rsidRPr="00A56B8B">
              <w:rPr>
                <w:color w:val="000000"/>
                <w:sz w:val="24"/>
                <w:szCs w:val="24"/>
              </w:rPr>
              <w:t>CWS 4</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4EC4E3A2" w14:textId="77777777" w:rsidR="00EC0D30" w:rsidRPr="00A56B8B" w:rsidRDefault="00EC0D30" w:rsidP="00A03C85">
            <w:pPr>
              <w:jc w:val="center"/>
              <w:rPr>
                <w:sz w:val="24"/>
                <w:szCs w:val="24"/>
              </w:rPr>
            </w:pPr>
            <w:r w:rsidRPr="00A56B8B">
              <w:rPr>
                <w:color w:val="000000"/>
                <w:sz w:val="24"/>
                <w:szCs w:val="24"/>
              </w:rPr>
              <w:t>&gt;15001</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725D8AE0" w14:textId="77777777" w:rsidR="00EC0D30" w:rsidRPr="00A56B8B" w:rsidRDefault="00EC0D30" w:rsidP="00A03C85">
            <w:pPr>
              <w:jc w:val="center"/>
              <w:rPr>
                <w:sz w:val="24"/>
                <w:szCs w:val="24"/>
              </w:rPr>
            </w:pPr>
            <w:r w:rsidRPr="00A56B8B">
              <w:rPr>
                <w:color w:val="000000"/>
                <w:sz w:val="24"/>
                <w:szCs w:val="24"/>
              </w:rPr>
              <w:t>$55,000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09A5A917" w14:textId="77777777" w:rsidR="00EC0D30" w:rsidRPr="00A56B8B" w:rsidRDefault="00EC0D30" w:rsidP="00A03C85">
            <w:pPr>
              <w:jc w:val="center"/>
              <w:rPr>
                <w:sz w:val="24"/>
                <w:szCs w:val="24"/>
              </w:rPr>
            </w:pPr>
            <w:r w:rsidRPr="00A56B8B">
              <w:rPr>
                <w:color w:val="000000"/>
                <w:sz w:val="24"/>
                <w:szCs w:val="24"/>
              </w:rPr>
              <w:t>$400,000</w:t>
            </w:r>
          </w:p>
        </w:tc>
      </w:tr>
    </w:tbl>
    <w:p w14:paraId="4F6FC741" w14:textId="77777777" w:rsidR="00EC0D30" w:rsidRDefault="00EC0D30" w:rsidP="00EC0D30">
      <w:pPr>
        <w:rPr>
          <w:rFonts w:cstheme="minorHAnsi"/>
          <w:i/>
          <w:iCs/>
        </w:rPr>
      </w:pPr>
    </w:p>
    <w:p w14:paraId="58AEA6A2" w14:textId="77777777" w:rsidR="00C83D02" w:rsidRPr="004E37AE" w:rsidRDefault="00C83D02" w:rsidP="00EC0D30">
      <w:pPr>
        <w:rPr>
          <w:rFonts w:cstheme="minorHAnsi"/>
          <w:i/>
          <w:iCs/>
        </w:rPr>
      </w:pPr>
    </w:p>
    <w:p w14:paraId="1BA65659" w14:textId="77777777" w:rsidR="0042162A" w:rsidRDefault="0042162A" w:rsidP="0042162A">
      <w:pPr>
        <w:pStyle w:val="ListParagraph"/>
        <w:numPr>
          <w:ilvl w:val="0"/>
          <w:numId w:val="1"/>
        </w:numPr>
        <w:spacing w:after="120"/>
        <w:contextualSpacing w:val="0"/>
        <w:rPr>
          <w:b/>
          <w:bCs/>
        </w:rPr>
      </w:pPr>
      <w:r>
        <w:rPr>
          <w:b/>
          <w:bCs/>
        </w:rPr>
        <w:t xml:space="preserve">How long do I have to complete my project? </w:t>
      </w:r>
    </w:p>
    <w:p w14:paraId="574B4EB3" w14:textId="4AA38568" w:rsidR="0042162A" w:rsidRPr="0076741F" w:rsidRDefault="0042162A" w:rsidP="0042162A">
      <w:pPr>
        <w:pStyle w:val="ListParagraph"/>
        <w:spacing w:after="120"/>
        <w:ind w:left="360"/>
        <w:contextualSpacing w:val="0"/>
      </w:pPr>
      <w:r w:rsidRPr="00B65DA7">
        <w:rPr>
          <w:highlight w:val="yellow"/>
        </w:rPr>
        <w:t xml:space="preserve">For </w:t>
      </w:r>
      <w:r w:rsidR="00DB3465">
        <w:rPr>
          <w:highlight w:val="yellow"/>
        </w:rPr>
        <w:t>n</w:t>
      </w:r>
      <w:r w:rsidR="00B65DA7" w:rsidRPr="00B65DA7">
        <w:rPr>
          <w:highlight w:val="yellow"/>
        </w:rPr>
        <w:t>oncompetitive</w:t>
      </w:r>
      <w:r w:rsidR="00DB3465">
        <w:rPr>
          <w:highlight w:val="yellow"/>
        </w:rPr>
        <w:t>ly</w:t>
      </w:r>
      <w:r w:rsidR="00B65DA7" w:rsidRPr="00B65DA7">
        <w:rPr>
          <w:highlight w:val="yellow"/>
        </w:rPr>
        <w:t xml:space="preserve"> funded p</w:t>
      </w:r>
      <w:r w:rsidRPr="00B65DA7">
        <w:rPr>
          <w:highlight w:val="yellow"/>
        </w:rPr>
        <w:t>rojects all work must be completed</w:t>
      </w:r>
      <w:r w:rsidR="00B65DA7" w:rsidRPr="00B65DA7">
        <w:rPr>
          <w:highlight w:val="yellow"/>
        </w:rPr>
        <w:t xml:space="preserve"> </w:t>
      </w:r>
      <w:r w:rsidRPr="00B65DA7">
        <w:rPr>
          <w:highlight w:val="yellow"/>
        </w:rPr>
        <w:t xml:space="preserve">within </w:t>
      </w:r>
      <w:r w:rsidR="00C83D02">
        <w:rPr>
          <w:highlight w:val="yellow"/>
          <w:u w:val="single"/>
        </w:rPr>
        <w:t>6</w:t>
      </w:r>
      <w:r w:rsidRPr="00B65DA7">
        <w:rPr>
          <w:highlight w:val="yellow"/>
          <w:u w:val="single"/>
        </w:rPr>
        <w:t xml:space="preserve"> months</w:t>
      </w:r>
      <w:r w:rsidR="00DB3465">
        <w:rPr>
          <w:highlight w:val="yellow"/>
        </w:rPr>
        <w:t xml:space="preserve"> of agreement execution by the IFA. F</w:t>
      </w:r>
      <w:r w:rsidRPr="00B65DA7">
        <w:rPr>
          <w:highlight w:val="yellow"/>
        </w:rPr>
        <w:t xml:space="preserve">or </w:t>
      </w:r>
      <w:r w:rsidR="00DB3465">
        <w:rPr>
          <w:highlight w:val="yellow"/>
        </w:rPr>
        <w:t>c</w:t>
      </w:r>
      <w:r w:rsidR="00B65DA7" w:rsidRPr="00B65DA7">
        <w:rPr>
          <w:highlight w:val="yellow"/>
        </w:rPr>
        <w:t>ompetitively funded</w:t>
      </w:r>
      <w:r w:rsidRPr="00B65DA7">
        <w:rPr>
          <w:highlight w:val="yellow"/>
        </w:rPr>
        <w:t xml:space="preserve"> projects all work must be completed within </w:t>
      </w:r>
      <w:r w:rsidRPr="00B65DA7">
        <w:rPr>
          <w:highlight w:val="yellow"/>
          <w:u w:val="single"/>
        </w:rPr>
        <w:t>12 months</w:t>
      </w:r>
      <w:r w:rsidRPr="00B65DA7">
        <w:rPr>
          <w:highlight w:val="yellow"/>
        </w:rPr>
        <w:t xml:space="preserve"> of agreement execution</w:t>
      </w:r>
      <w:r w:rsidR="00DB3465">
        <w:rPr>
          <w:highlight w:val="yellow"/>
        </w:rPr>
        <w:t xml:space="preserve"> by the IFA</w:t>
      </w:r>
      <w:r w:rsidRPr="00B65DA7">
        <w:rPr>
          <w:highlight w:val="yellow"/>
        </w:rPr>
        <w:t>.</w:t>
      </w:r>
    </w:p>
    <w:p w14:paraId="11043A56" w14:textId="77777777" w:rsidR="00D753D0" w:rsidRDefault="00D753D0" w:rsidP="00D753D0">
      <w:pPr>
        <w:spacing w:after="120"/>
        <w:ind w:left="360"/>
      </w:pPr>
    </w:p>
    <w:p w14:paraId="5EB3382C" w14:textId="40E0E8C5" w:rsidR="00130B13" w:rsidRDefault="00130B13" w:rsidP="00D753D0">
      <w:pPr>
        <w:pStyle w:val="ListParagraph"/>
        <w:numPr>
          <w:ilvl w:val="0"/>
          <w:numId w:val="1"/>
        </w:numPr>
        <w:spacing w:after="120"/>
        <w:contextualSpacing w:val="0"/>
        <w:rPr>
          <w:b/>
          <w:bCs/>
        </w:rPr>
      </w:pPr>
      <w:r>
        <w:rPr>
          <w:b/>
          <w:bCs/>
        </w:rPr>
        <w:t xml:space="preserve">What if my inventory isn’t yet </w:t>
      </w:r>
      <w:r w:rsidR="00B65DA7">
        <w:rPr>
          <w:b/>
          <w:bCs/>
        </w:rPr>
        <w:t>uploaded into the portal</w:t>
      </w:r>
      <w:r>
        <w:rPr>
          <w:b/>
          <w:bCs/>
        </w:rPr>
        <w:t xml:space="preserve"> but will be before the closing date of Round</w:t>
      </w:r>
      <w:r w:rsidR="00B65DA7">
        <w:rPr>
          <w:b/>
          <w:bCs/>
        </w:rPr>
        <w:t xml:space="preserve"> 2</w:t>
      </w:r>
      <w:r>
        <w:rPr>
          <w:b/>
          <w:bCs/>
        </w:rPr>
        <w:t xml:space="preserve">. Can I still </w:t>
      </w:r>
      <w:r w:rsidR="00CE20DF">
        <w:rPr>
          <w:b/>
          <w:bCs/>
        </w:rPr>
        <w:t>apply</w:t>
      </w:r>
      <w:r>
        <w:rPr>
          <w:b/>
          <w:bCs/>
        </w:rPr>
        <w:t xml:space="preserve"> for a Type II or III project? </w:t>
      </w:r>
    </w:p>
    <w:p w14:paraId="304B9581" w14:textId="6DC92D5F" w:rsidR="00130B13" w:rsidRDefault="00CE20DF" w:rsidP="00D753D0">
      <w:pPr>
        <w:spacing w:after="120"/>
        <w:ind w:firstLine="360"/>
      </w:pPr>
      <w:r>
        <w:t>P</w:t>
      </w:r>
      <w:r w:rsidR="00130B13">
        <w:t>lease do</w:t>
      </w:r>
      <w:r>
        <w:t xml:space="preserve"> not </w:t>
      </w:r>
      <w:r w:rsidR="00130B13">
        <w:t xml:space="preserve">submit </w:t>
      </w:r>
      <w:r w:rsidR="00D01F40">
        <w:t xml:space="preserve">your application </w:t>
      </w:r>
      <w:r w:rsidR="00130B13">
        <w:t xml:space="preserve">until </w:t>
      </w:r>
      <w:r w:rsidR="005C0039">
        <w:t>the inventory is submitted</w:t>
      </w:r>
      <w:r w:rsidR="00D01F40">
        <w:t xml:space="preserve"> to IDEM</w:t>
      </w:r>
      <w:r w:rsidR="005C0039">
        <w:t>.</w:t>
      </w:r>
    </w:p>
    <w:p w14:paraId="59DE7D83" w14:textId="77777777" w:rsidR="0042162A" w:rsidRDefault="0042162A" w:rsidP="00D753D0">
      <w:pPr>
        <w:spacing w:after="120"/>
        <w:ind w:firstLine="360"/>
      </w:pPr>
    </w:p>
    <w:p w14:paraId="7FCAABFC" w14:textId="77777777" w:rsidR="0042162A" w:rsidRPr="008B5C84" w:rsidRDefault="0042162A" w:rsidP="0042162A">
      <w:pPr>
        <w:pStyle w:val="ListParagraph"/>
        <w:numPr>
          <w:ilvl w:val="0"/>
          <w:numId w:val="1"/>
        </w:numPr>
        <w:spacing w:after="120"/>
        <w:contextualSpacing w:val="0"/>
      </w:pPr>
      <w:r w:rsidRPr="008B5C84">
        <w:rPr>
          <w:b/>
          <w:bCs/>
        </w:rPr>
        <w:t xml:space="preserve">What are IDEM’s requirements for submitting an inventory? </w:t>
      </w:r>
    </w:p>
    <w:p w14:paraId="1D34E633" w14:textId="77777777" w:rsidR="0042162A" w:rsidRDefault="0042162A" w:rsidP="0042162A">
      <w:pPr>
        <w:pStyle w:val="ListParagraph"/>
        <w:spacing w:after="120"/>
        <w:ind w:left="360"/>
        <w:contextualSpacing w:val="0"/>
      </w:pPr>
      <w:r w:rsidRPr="001F5E99">
        <w:t xml:space="preserve">Please consult IDEM’s </w:t>
      </w:r>
      <w:hyperlink r:id="rId14" w:history="1">
        <w:r w:rsidRPr="001F5E99">
          <w:rPr>
            <w:rStyle w:val="Hyperlink"/>
          </w:rPr>
          <w:t>inventory template and guidance</w:t>
        </w:r>
      </w:hyperlink>
      <w:r>
        <w:t xml:space="preserve">. </w:t>
      </w:r>
    </w:p>
    <w:p w14:paraId="116FEB8D" w14:textId="77777777" w:rsidR="0042162A" w:rsidRPr="001F5E99" w:rsidRDefault="0042162A" w:rsidP="0042162A">
      <w:pPr>
        <w:pStyle w:val="ListParagraph"/>
        <w:spacing w:after="120"/>
        <w:ind w:left="360"/>
        <w:contextualSpacing w:val="0"/>
      </w:pPr>
    </w:p>
    <w:p w14:paraId="0DAC3C78" w14:textId="77777777" w:rsidR="0042162A" w:rsidRPr="0082172E" w:rsidRDefault="0042162A" w:rsidP="0042162A">
      <w:pPr>
        <w:pStyle w:val="ListParagraph"/>
        <w:numPr>
          <w:ilvl w:val="0"/>
          <w:numId w:val="1"/>
        </w:numPr>
        <w:spacing w:after="120"/>
        <w:contextualSpacing w:val="0"/>
      </w:pPr>
      <w:r w:rsidRPr="0082172E">
        <w:rPr>
          <w:b/>
          <w:bCs/>
        </w:rPr>
        <w:t>I am a service provider. How does my contract with IFA work?</w:t>
      </w:r>
    </w:p>
    <w:p w14:paraId="23987C92" w14:textId="0F4E9354" w:rsidR="0042162A" w:rsidRDefault="0042162A" w:rsidP="0042162A">
      <w:pPr>
        <w:pStyle w:val="ListParagraph"/>
        <w:spacing w:after="120"/>
        <w:ind w:left="360"/>
        <w:contextualSpacing w:val="0"/>
        <w:rPr>
          <w:b/>
          <w:bCs/>
        </w:rPr>
      </w:pPr>
      <w:r w:rsidRPr="0082172E">
        <w:t xml:space="preserve">IFA will enter into a professional services agreement with your firm. </w:t>
      </w:r>
    </w:p>
    <w:p w14:paraId="686B9C4D" w14:textId="77777777" w:rsidR="00D753D0" w:rsidRDefault="00D753D0" w:rsidP="00D753D0">
      <w:pPr>
        <w:spacing w:after="120"/>
        <w:ind w:firstLine="360"/>
      </w:pPr>
    </w:p>
    <w:p w14:paraId="00E9B076" w14:textId="77777777" w:rsidR="00C83D02" w:rsidRDefault="00C83D02" w:rsidP="00D753D0">
      <w:pPr>
        <w:spacing w:after="120"/>
        <w:ind w:firstLine="360"/>
      </w:pPr>
    </w:p>
    <w:p w14:paraId="2B0260E8" w14:textId="1B302192" w:rsidR="008B1D04" w:rsidRDefault="008B1D04" w:rsidP="00D753D0">
      <w:pPr>
        <w:pStyle w:val="ListParagraph"/>
        <w:numPr>
          <w:ilvl w:val="0"/>
          <w:numId w:val="1"/>
        </w:numPr>
        <w:spacing w:after="120"/>
        <w:contextualSpacing w:val="0"/>
        <w:rPr>
          <w:b/>
          <w:bCs/>
        </w:rPr>
      </w:pPr>
      <w:r w:rsidRPr="00C32A91">
        <w:rPr>
          <w:b/>
          <w:bCs/>
        </w:rPr>
        <w:t>When will we be notified if we’re selected for a grant award?</w:t>
      </w:r>
    </w:p>
    <w:p w14:paraId="10420DDB" w14:textId="27C9340E" w:rsidR="008B1D04" w:rsidRDefault="00B65DA7" w:rsidP="00D753D0">
      <w:pPr>
        <w:pStyle w:val="ListParagraph"/>
        <w:spacing w:after="120"/>
        <w:ind w:left="360"/>
        <w:contextualSpacing w:val="0"/>
      </w:pPr>
      <w:bookmarkStart w:id="3" w:name="_Hlk154145413"/>
      <w:r w:rsidRPr="00B65DA7">
        <w:rPr>
          <w:highlight w:val="yellow"/>
        </w:rPr>
        <w:t>Noncompetitively funded project applications will be awarded as soon as received and approved. Competitively funded projects will be awarded after the application period closes (February 29, 2024) for the IFA to determine amount of available funding.</w:t>
      </w:r>
    </w:p>
    <w:bookmarkEnd w:id="3"/>
    <w:p w14:paraId="1A9F5C0D" w14:textId="77777777" w:rsidR="008B1D04" w:rsidRDefault="008B1D04" w:rsidP="00D753D0">
      <w:pPr>
        <w:pStyle w:val="ListParagraph"/>
        <w:spacing w:after="120"/>
        <w:ind w:left="360"/>
        <w:contextualSpacing w:val="0"/>
      </w:pPr>
    </w:p>
    <w:p w14:paraId="56CEB1DA" w14:textId="6371BF24" w:rsidR="00130B13" w:rsidRPr="000D0928" w:rsidRDefault="008B1D04" w:rsidP="00D753D0">
      <w:pPr>
        <w:pStyle w:val="ListParagraph"/>
        <w:numPr>
          <w:ilvl w:val="0"/>
          <w:numId w:val="1"/>
        </w:numPr>
        <w:spacing w:after="120"/>
        <w:contextualSpacing w:val="0"/>
        <w:rPr>
          <w:b/>
          <w:bCs/>
          <w:highlight w:val="yellow"/>
        </w:rPr>
      </w:pPr>
      <w:r w:rsidRPr="00C32A91">
        <w:rPr>
          <w:b/>
          <w:bCs/>
        </w:rPr>
        <w:t>Will receiving a Type I or II funding assistance decrease my chances of receiving a Type III?</w:t>
      </w:r>
      <w:r w:rsidR="00B65DA7">
        <w:rPr>
          <w:b/>
          <w:bCs/>
        </w:rPr>
        <w:t xml:space="preserve"> </w:t>
      </w:r>
      <w:r w:rsidR="00B65DA7" w:rsidRPr="000D0928">
        <w:rPr>
          <w:b/>
          <w:bCs/>
          <w:highlight w:val="yellow"/>
        </w:rPr>
        <w:t>Will receiving funds in Round 1 decrease my chances</w:t>
      </w:r>
      <w:r w:rsidR="000D0928" w:rsidRPr="000D0928">
        <w:rPr>
          <w:b/>
          <w:bCs/>
          <w:highlight w:val="yellow"/>
        </w:rPr>
        <w:t xml:space="preserve">? </w:t>
      </w:r>
    </w:p>
    <w:p w14:paraId="24D2D520" w14:textId="0EF7FD43" w:rsidR="00C32A91" w:rsidRDefault="008B1D04" w:rsidP="00D753D0">
      <w:pPr>
        <w:pStyle w:val="ListParagraph"/>
        <w:spacing w:after="120"/>
        <w:ind w:left="360"/>
        <w:contextualSpacing w:val="0"/>
      </w:pPr>
      <w:r>
        <w:t>No</w:t>
      </w:r>
      <w:r w:rsidR="00091630">
        <w:t>.</w:t>
      </w:r>
    </w:p>
    <w:p w14:paraId="5703D174" w14:textId="77777777" w:rsidR="004A605A" w:rsidRDefault="004A605A" w:rsidP="00D753D0">
      <w:pPr>
        <w:pStyle w:val="ListParagraph"/>
        <w:spacing w:after="120"/>
        <w:ind w:left="360"/>
        <w:contextualSpacing w:val="0"/>
      </w:pPr>
    </w:p>
    <w:p w14:paraId="301893F5" w14:textId="77777777" w:rsidR="003E614C" w:rsidRPr="005452C8" w:rsidRDefault="003E614C" w:rsidP="00D753D0">
      <w:pPr>
        <w:pStyle w:val="ListParagraph"/>
        <w:numPr>
          <w:ilvl w:val="0"/>
          <w:numId w:val="1"/>
        </w:numPr>
        <w:spacing w:after="120"/>
        <w:contextualSpacing w:val="0"/>
      </w:pPr>
      <w:r>
        <w:rPr>
          <w:b/>
          <w:bCs/>
        </w:rPr>
        <w:t>I submitted an IFA LSL Inventory Funding application but now I need to add or change some information. Should I submit a second application?</w:t>
      </w:r>
    </w:p>
    <w:p w14:paraId="39F0D8C0" w14:textId="00F97340" w:rsidR="003E614C" w:rsidRDefault="003E614C" w:rsidP="00D753D0">
      <w:pPr>
        <w:spacing w:after="120"/>
        <w:ind w:left="360"/>
      </w:pPr>
      <w:r>
        <w:t xml:space="preserve">No. Do not submit another application. IFA will only review the first application submitted. If you need to add or change information, email IFA at </w:t>
      </w:r>
      <w:hyperlink r:id="rId15" w:history="1">
        <w:r w:rsidR="00D753D0" w:rsidRPr="00B0154E">
          <w:rPr>
            <w:rStyle w:val="Hyperlink"/>
          </w:rPr>
          <w:t>LSLIgrants@ifa.in.gov</w:t>
        </w:r>
      </w:hyperlink>
      <w:r w:rsidRPr="003E614C">
        <w:t>.</w:t>
      </w:r>
    </w:p>
    <w:p w14:paraId="66E19386" w14:textId="77777777" w:rsidR="00D753D0" w:rsidRDefault="00D753D0" w:rsidP="00D753D0">
      <w:pPr>
        <w:spacing w:after="120"/>
        <w:ind w:left="360"/>
      </w:pPr>
    </w:p>
    <w:p w14:paraId="30AC7561" w14:textId="61A3AF65" w:rsidR="004A605A" w:rsidRPr="005452C8" w:rsidRDefault="004A605A" w:rsidP="00D753D0">
      <w:pPr>
        <w:pStyle w:val="ListParagraph"/>
        <w:numPr>
          <w:ilvl w:val="0"/>
          <w:numId w:val="1"/>
        </w:numPr>
        <w:spacing w:after="120"/>
        <w:contextualSpacing w:val="0"/>
      </w:pPr>
      <w:r>
        <w:rPr>
          <w:b/>
          <w:bCs/>
        </w:rPr>
        <w:t>Can I start my online application but finish it later?</w:t>
      </w:r>
    </w:p>
    <w:p w14:paraId="0F05F585" w14:textId="12FC8E30" w:rsidR="00130B13" w:rsidRDefault="004A605A" w:rsidP="00D753D0">
      <w:pPr>
        <w:spacing w:after="120"/>
        <w:ind w:left="360"/>
      </w:pPr>
      <w:r>
        <w:t xml:space="preserve">Yes, there is a </w:t>
      </w:r>
      <w:r w:rsidR="00780F8D">
        <w:t>“save &amp; continue” feature</w:t>
      </w:r>
      <w:r>
        <w:t xml:space="preserve"> that allows you to do this. </w:t>
      </w:r>
    </w:p>
    <w:p w14:paraId="7DE78134" w14:textId="77777777" w:rsidR="004A4222" w:rsidRDefault="004A4222" w:rsidP="00D753D0">
      <w:pPr>
        <w:spacing w:after="120"/>
        <w:ind w:left="360"/>
      </w:pPr>
    </w:p>
    <w:p w14:paraId="39E84F42" w14:textId="77777777" w:rsidR="00D753D0" w:rsidRDefault="00D753D0" w:rsidP="00D753D0">
      <w:pPr>
        <w:pStyle w:val="ListParagraph"/>
        <w:numPr>
          <w:ilvl w:val="0"/>
          <w:numId w:val="1"/>
        </w:numPr>
        <w:spacing w:after="120"/>
        <w:contextualSpacing w:val="0"/>
        <w:rPr>
          <w:b/>
          <w:bCs/>
        </w:rPr>
      </w:pPr>
      <w:r>
        <w:rPr>
          <w:b/>
          <w:bCs/>
        </w:rPr>
        <w:t>What if my water system is comprised of more than one PWSID?</w:t>
      </w:r>
    </w:p>
    <w:p w14:paraId="20356D85" w14:textId="77777777" w:rsidR="00D753D0" w:rsidRDefault="00D753D0" w:rsidP="00D753D0">
      <w:pPr>
        <w:spacing w:after="120"/>
        <w:ind w:left="360"/>
      </w:pPr>
      <w:r>
        <w:t>The IFA will accept one application per PWSID per round.</w:t>
      </w:r>
    </w:p>
    <w:p w14:paraId="1099BCA1" w14:textId="77777777" w:rsidR="00DE1FC9" w:rsidRPr="00F573A7" w:rsidRDefault="00DE1FC9" w:rsidP="00D753D0">
      <w:pPr>
        <w:pStyle w:val="ListParagraph"/>
        <w:spacing w:after="120"/>
        <w:ind w:left="360"/>
        <w:contextualSpacing w:val="0"/>
      </w:pPr>
    </w:p>
    <w:p w14:paraId="74E616BF" w14:textId="22493439" w:rsidR="00DE1FC9" w:rsidRPr="00FB2CAB" w:rsidRDefault="00DE1FC9" w:rsidP="00D753D0">
      <w:pPr>
        <w:pStyle w:val="ListParagraph"/>
        <w:numPr>
          <w:ilvl w:val="0"/>
          <w:numId w:val="1"/>
        </w:numPr>
        <w:spacing w:after="120"/>
        <w:contextualSpacing w:val="0"/>
        <w:rPr>
          <w:highlight w:val="yellow"/>
        </w:rPr>
      </w:pPr>
      <w:r w:rsidRPr="00FB2CAB">
        <w:rPr>
          <w:b/>
          <w:bCs/>
          <w:highlight w:val="yellow"/>
        </w:rPr>
        <w:t xml:space="preserve">What happens if I cannot use my </w:t>
      </w:r>
      <w:r w:rsidR="00FB2CAB" w:rsidRPr="00FB2CAB">
        <w:rPr>
          <w:b/>
          <w:bCs/>
          <w:highlight w:val="yellow"/>
        </w:rPr>
        <w:t xml:space="preserve">Noncompetitive </w:t>
      </w:r>
      <w:r w:rsidRPr="00FB2CAB">
        <w:rPr>
          <w:b/>
          <w:bCs/>
          <w:highlight w:val="yellow"/>
        </w:rPr>
        <w:t>funds</w:t>
      </w:r>
      <w:r w:rsidR="00FB2CAB" w:rsidRPr="00FB2CAB">
        <w:rPr>
          <w:b/>
          <w:bCs/>
          <w:highlight w:val="yellow"/>
        </w:rPr>
        <w:t xml:space="preserve"> </w:t>
      </w:r>
      <w:r w:rsidRPr="00FB2CAB">
        <w:rPr>
          <w:b/>
          <w:bCs/>
          <w:highlight w:val="yellow"/>
        </w:rPr>
        <w:t>or only need a portion of the</w:t>
      </w:r>
      <w:r w:rsidR="0042162A" w:rsidRPr="00FB2CAB">
        <w:rPr>
          <w:b/>
          <w:bCs/>
          <w:highlight w:val="yellow"/>
        </w:rPr>
        <w:t xml:space="preserve"> funds</w:t>
      </w:r>
      <w:r w:rsidRPr="00FB2CAB">
        <w:rPr>
          <w:b/>
          <w:bCs/>
          <w:highlight w:val="yellow"/>
        </w:rPr>
        <w:t>?</w:t>
      </w:r>
    </w:p>
    <w:p w14:paraId="69744497" w14:textId="130715A1" w:rsidR="000D0928" w:rsidRDefault="000D0928" w:rsidP="00D753D0">
      <w:pPr>
        <w:pStyle w:val="ListParagraph"/>
        <w:spacing w:after="120"/>
        <w:ind w:left="360"/>
        <w:contextualSpacing w:val="0"/>
      </w:pPr>
      <w:r w:rsidRPr="003D5B37">
        <w:rPr>
          <w:highlight w:val="yellow"/>
        </w:rPr>
        <w:t xml:space="preserve">If you </w:t>
      </w:r>
      <w:r>
        <w:rPr>
          <w:highlight w:val="yellow"/>
        </w:rPr>
        <w:t xml:space="preserve">do not want </w:t>
      </w:r>
      <w:r w:rsidR="00FB2CAB">
        <w:rPr>
          <w:highlight w:val="yellow"/>
        </w:rPr>
        <w:t xml:space="preserve">to </w:t>
      </w:r>
      <w:r>
        <w:rPr>
          <w:highlight w:val="yellow"/>
        </w:rPr>
        <w:t xml:space="preserve">or cannot spend your Noncompetitive funds on </w:t>
      </w:r>
      <w:r w:rsidRPr="003D5B37">
        <w:rPr>
          <w:highlight w:val="yellow"/>
        </w:rPr>
        <w:t xml:space="preserve">inventory </w:t>
      </w:r>
      <w:r>
        <w:rPr>
          <w:highlight w:val="yellow"/>
        </w:rPr>
        <w:t xml:space="preserve">or replacement planning </w:t>
      </w:r>
      <w:r w:rsidRPr="003D5B37">
        <w:rPr>
          <w:highlight w:val="yellow"/>
        </w:rPr>
        <w:t xml:space="preserve">needs, you can use </w:t>
      </w:r>
      <w:r>
        <w:rPr>
          <w:highlight w:val="yellow"/>
        </w:rPr>
        <w:t xml:space="preserve">the Noncompetitive funds on </w:t>
      </w:r>
      <w:r w:rsidRPr="003D5B37">
        <w:rPr>
          <w:highlight w:val="yellow"/>
        </w:rPr>
        <w:t>validation work (Type III</w:t>
      </w:r>
      <w:r w:rsidRPr="00EC0D30">
        <w:rPr>
          <w:highlight w:val="yellow"/>
        </w:rPr>
        <w:t xml:space="preserve">). If you have no LSL inventory, replacement planning or validation needs but have other </w:t>
      </w:r>
      <w:r w:rsidR="00EC0D30">
        <w:rPr>
          <w:highlight w:val="yellow"/>
        </w:rPr>
        <w:t xml:space="preserve">drinking water infrastructure </w:t>
      </w:r>
      <w:r w:rsidRPr="00EC0D30">
        <w:rPr>
          <w:highlight w:val="yellow"/>
        </w:rPr>
        <w:t>needs, contact the SRF</w:t>
      </w:r>
      <w:r w:rsidR="00EC0D30">
        <w:rPr>
          <w:highlight w:val="yellow"/>
        </w:rPr>
        <w:t xml:space="preserve"> Loan Program</w:t>
      </w:r>
      <w:r w:rsidRPr="00EC0D30">
        <w:rPr>
          <w:highlight w:val="yellow"/>
        </w:rPr>
        <w:t xml:space="preserve">. If you have no LSL inventory, replacement planning or validation needs then consider yourself </w:t>
      </w:r>
      <w:r w:rsidR="00721AA3">
        <w:rPr>
          <w:highlight w:val="yellow"/>
        </w:rPr>
        <w:t>fortunate</w:t>
      </w:r>
      <w:r w:rsidRPr="00EC0D30">
        <w:rPr>
          <w:highlight w:val="yellow"/>
        </w:rPr>
        <w:t>.</w:t>
      </w:r>
    </w:p>
    <w:p w14:paraId="3DFC6FD9" w14:textId="77777777" w:rsidR="00DE1FC9" w:rsidRPr="00745B3E" w:rsidRDefault="00DE1FC9" w:rsidP="00D753D0">
      <w:pPr>
        <w:pStyle w:val="ListParagraph"/>
        <w:spacing w:after="120"/>
        <w:ind w:left="360"/>
        <w:contextualSpacing w:val="0"/>
        <w:rPr>
          <w:b/>
          <w:bCs/>
          <w:highlight w:val="green"/>
        </w:rPr>
      </w:pPr>
    </w:p>
    <w:p w14:paraId="2542A98A" w14:textId="34C90FD2" w:rsidR="00DE1FC9" w:rsidRPr="001C4FB1" w:rsidRDefault="00260770" w:rsidP="00D753D0">
      <w:pPr>
        <w:pStyle w:val="ListParagraph"/>
        <w:numPr>
          <w:ilvl w:val="0"/>
          <w:numId w:val="1"/>
        </w:numPr>
        <w:spacing w:after="120"/>
        <w:contextualSpacing w:val="0"/>
      </w:pPr>
      <w:r w:rsidRPr="001C4FB1">
        <w:rPr>
          <w:b/>
          <w:bCs/>
        </w:rPr>
        <w:t xml:space="preserve">My community is undertaking an SRF project with a variety of components (storage, distribution), but it also includes LSL </w:t>
      </w:r>
      <w:r w:rsidRPr="001C4FB1">
        <w:rPr>
          <w:b/>
          <w:bCs/>
          <w:i/>
          <w:iCs/>
        </w:rPr>
        <w:t>inventory</w:t>
      </w:r>
      <w:r w:rsidRPr="001C4FB1">
        <w:rPr>
          <w:b/>
          <w:bCs/>
        </w:rPr>
        <w:t xml:space="preserve"> </w:t>
      </w:r>
      <w:r w:rsidRPr="001C4FB1">
        <w:rPr>
          <w:b/>
          <w:bCs/>
          <w:u w:val="single"/>
        </w:rPr>
        <w:t xml:space="preserve">and </w:t>
      </w:r>
      <w:r w:rsidRPr="001C4FB1">
        <w:rPr>
          <w:b/>
          <w:bCs/>
          <w:i/>
          <w:iCs/>
        </w:rPr>
        <w:t>replacement</w:t>
      </w:r>
      <w:r w:rsidRPr="001C4FB1">
        <w:rPr>
          <w:b/>
          <w:bCs/>
        </w:rPr>
        <w:t xml:space="preserve"> work.</w:t>
      </w:r>
      <w:r w:rsidR="00164083" w:rsidRPr="001C4FB1">
        <w:rPr>
          <w:b/>
          <w:bCs/>
        </w:rPr>
        <w:t xml:space="preserve">  If we apply for the IFA LSL Inventory assistance for a Type I or II project, will IFA require inventory submitted prior to starting the replacement work funded by SRF? </w:t>
      </w:r>
    </w:p>
    <w:p w14:paraId="22CA721F" w14:textId="69EED1A6" w:rsidR="00164083" w:rsidRDefault="00530211" w:rsidP="00D753D0">
      <w:pPr>
        <w:spacing w:after="120"/>
        <w:ind w:left="360"/>
      </w:pPr>
      <w:r w:rsidRPr="001C4FB1">
        <w:t xml:space="preserve">No. </w:t>
      </w:r>
      <w:r w:rsidR="00164083" w:rsidRPr="001C4FB1">
        <w:t xml:space="preserve">Utility </w:t>
      </w:r>
      <w:r w:rsidRPr="001C4FB1">
        <w:t>may use SRF financing to complete LSL</w:t>
      </w:r>
      <w:r w:rsidR="00164083" w:rsidRPr="001C4FB1">
        <w:t xml:space="preserve"> replacement work without an inventory submitted </w:t>
      </w:r>
      <w:r w:rsidRPr="001C4FB1">
        <w:t xml:space="preserve">to IDEM </w:t>
      </w:r>
      <w:r w:rsidR="00164083" w:rsidRPr="001C4FB1">
        <w:t>up until October 2024.</w:t>
      </w:r>
      <w:r w:rsidR="00164083">
        <w:t xml:space="preserve"> </w:t>
      </w:r>
    </w:p>
    <w:p w14:paraId="64CE691C" w14:textId="61963F27" w:rsidR="00106F7A" w:rsidRDefault="00106F7A" w:rsidP="00D753D0">
      <w:pPr>
        <w:spacing w:after="120"/>
        <w:ind w:left="360"/>
      </w:pPr>
    </w:p>
    <w:p w14:paraId="651DF8F7" w14:textId="77777777" w:rsidR="00C83D02" w:rsidRDefault="00C83D02" w:rsidP="00D753D0">
      <w:pPr>
        <w:spacing w:after="120"/>
        <w:ind w:left="360"/>
      </w:pPr>
    </w:p>
    <w:p w14:paraId="6D6CCE97" w14:textId="04B11CDA" w:rsidR="002A50EE" w:rsidRPr="004A4222" w:rsidRDefault="002A50EE" w:rsidP="002A50EE">
      <w:pPr>
        <w:pStyle w:val="ListParagraph"/>
        <w:numPr>
          <w:ilvl w:val="0"/>
          <w:numId w:val="1"/>
        </w:numPr>
        <w:spacing w:after="120"/>
        <w:contextualSpacing w:val="0"/>
      </w:pPr>
      <w:bookmarkStart w:id="4" w:name="_Hlk132034412"/>
      <w:r w:rsidRPr="004A4222">
        <w:rPr>
          <w:b/>
          <w:bCs/>
        </w:rPr>
        <w:t xml:space="preserve">What is needed for final disbursement? </w:t>
      </w:r>
    </w:p>
    <w:p w14:paraId="023E7291" w14:textId="5E0F6C71" w:rsidR="002A50EE" w:rsidRDefault="004A4222" w:rsidP="002A50EE">
      <w:pPr>
        <w:pStyle w:val="ListParagraph"/>
        <w:spacing w:after="120"/>
        <w:ind w:left="360"/>
        <w:contextualSpacing w:val="0"/>
      </w:pPr>
      <w:r>
        <w:rPr>
          <w:rFonts w:eastAsia="Times New Roman" w:cstheme="minorHAnsi"/>
        </w:rPr>
        <w:t xml:space="preserve">IFA LSL Inventory Funding </w:t>
      </w:r>
      <w:r w:rsidR="002A50EE" w:rsidRPr="004A4222">
        <w:rPr>
          <w:rFonts w:eastAsia="Times New Roman" w:cstheme="minorHAnsi"/>
        </w:rPr>
        <w:t xml:space="preserve">Disbursement </w:t>
      </w:r>
      <w:r>
        <w:rPr>
          <w:rFonts w:eastAsia="Times New Roman" w:cstheme="minorHAnsi"/>
        </w:rPr>
        <w:t>R</w:t>
      </w:r>
      <w:r w:rsidR="002A50EE" w:rsidRPr="004A4222">
        <w:rPr>
          <w:rFonts w:eastAsia="Times New Roman" w:cstheme="minorHAnsi"/>
        </w:rPr>
        <w:t>equest</w:t>
      </w:r>
      <w:r w:rsidR="00EC0D30">
        <w:rPr>
          <w:rFonts w:eastAsia="Times New Roman" w:cstheme="minorHAnsi"/>
        </w:rPr>
        <w:t xml:space="preserve"> </w:t>
      </w:r>
      <w:r>
        <w:rPr>
          <w:rFonts w:eastAsia="Times New Roman" w:cstheme="minorHAnsi"/>
        </w:rPr>
        <w:t>and IFA LSL Inventory Funding Project C</w:t>
      </w:r>
      <w:r w:rsidR="002A50EE" w:rsidRPr="004A4222">
        <w:rPr>
          <w:rFonts w:eastAsia="Times New Roman" w:cstheme="minorHAnsi"/>
        </w:rPr>
        <w:t xml:space="preserve">ompletion </w:t>
      </w:r>
      <w:r>
        <w:rPr>
          <w:rFonts w:eastAsia="Times New Roman" w:cstheme="minorHAnsi"/>
        </w:rPr>
        <w:t>C</w:t>
      </w:r>
      <w:r w:rsidR="002A50EE" w:rsidRPr="004A4222">
        <w:rPr>
          <w:rFonts w:eastAsia="Times New Roman" w:cstheme="minorHAnsi"/>
        </w:rPr>
        <w:t xml:space="preserve">ertification </w:t>
      </w:r>
      <w:r>
        <w:rPr>
          <w:rFonts w:eastAsia="Times New Roman" w:cstheme="minorHAnsi"/>
        </w:rPr>
        <w:t>F</w:t>
      </w:r>
      <w:r w:rsidR="002A50EE" w:rsidRPr="004A4222">
        <w:rPr>
          <w:rFonts w:eastAsia="Times New Roman" w:cstheme="minorHAnsi"/>
        </w:rPr>
        <w:t>orm</w:t>
      </w:r>
      <w:r>
        <w:t>.</w:t>
      </w:r>
      <w:r w:rsidR="00EA2412">
        <w:t xml:space="preserve"> </w:t>
      </w:r>
    </w:p>
    <w:bookmarkEnd w:id="4"/>
    <w:p w14:paraId="3C64E0C9" w14:textId="58F5C810" w:rsidR="00EA2412" w:rsidRDefault="00EA2412" w:rsidP="00EA2412">
      <w:pPr>
        <w:spacing w:after="120"/>
      </w:pPr>
    </w:p>
    <w:p w14:paraId="5F07B6A7" w14:textId="4B6B5BDE" w:rsidR="0018667E" w:rsidRDefault="00CD4C01" w:rsidP="0018667E">
      <w:pPr>
        <w:pStyle w:val="ListParagraph"/>
        <w:numPr>
          <w:ilvl w:val="0"/>
          <w:numId w:val="1"/>
        </w:numPr>
        <w:spacing w:after="120"/>
      </w:pPr>
      <w:r w:rsidRPr="00F60FA6">
        <w:rPr>
          <w:b/>
          <w:bCs/>
        </w:rPr>
        <w:t>By submitting an LSL inventory to IDEM</w:t>
      </w:r>
      <w:r w:rsidR="00F60FA6" w:rsidRPr="00F60FA6">
        <w:rPr>
          <w:b/>
          <w:bCs/>
        </w:rPr>
        <w:t>’s State Dashboard using the PWS Portal</w:t>
      </w:r>
      <w:r w:rsidR="00FC5909">
        <w:rPr>
          <w:b/>
          <w:bCs/>
        </w:rPr>
        <w:t xml:space="preserve">, </w:t>
      </w:r>
      <w:r w:rsidR="0018667E" w:rsidRPr="00F60FA6">
        <w:rPr>
          <w:b/>
          <w:bCs/>
        </w:rPr>
        <w:t xml:space="preserve">does </w:t>
      </w:r>
      <w:r w:rsidRPr="00F60FA6">
        <w:rPr>
          <w:b/>
          <w:bCs/>
        </w:rPr>
        <w:t>this initiate the requirement</w:t>
      </w:r>
      <w:r w:rsidR="0018667E" w:rsidRPr="00F60FA6">
        <w:rPr>
          <w:b/>
          <w:bCs/>
        </w:rPr>
        <w:t xml:space="preserve"> related to “completion of a service line inventory” </w:t>
      </w:r>
      <w:r w:rsidRPr="00F60FA6">
        <w:rPr>
          <w:b/>
          <w:bCs/>
        </w:rPr>
        <w:t>to notify</w:t>
      </w:r>
      <w:r w:rsidR="0018667E" w:rsidRPr="00F60FA6">
        <w:rPr>
          <w:b/>
          <w:bCs/>
        </w:rPr>
        <w:t xml:space="preserve"> customers within 30 days?</w:t>
      </w:r>
      <w:r w:rsidR="00F60FA6">
        <w:t xml:space="preserve"> </w:t>
      </w:r>
    </w:p>
    <w:p w14:paraId="5543398A" w14:textId="641B304B" w:rsidR="0018667E" w:rsidRDefault="0018667E" w:rsidP="0018667E">
      <w:pPr>
        <w:pStyle w:val="ListParagraph"/>
        <w:spacing w:after="120"/>
        <w:ind w:left="360"/>
      </w:pPr>
    </w:p>
    <w:p w14:paraId="02189494" w14:textId="786C7775" w:rsidR="0018667E" w:rsidRPr="005C1F16" w:rsidRDefault="0018667E" w:rsidP="00F60FA6">
      <w:pPr>
        <w:pStyle w:val="ListParagraph"/>
        <w:spacing w:after="120"/>
        <w:ind w:left="360"/>
      </w:pPr>
      <w:r>
        <w:t>Yes.</w:t>
      </w:r>
      <w:r w:rsidR="00F60FA6" w:rsidRPr="00F60FA6">
        <w:t xml:space="preserve"> </w:t>
      </w:r>
      <w:r w:rsidR="000D3FD6">
        <w:t>Note, s</w:t>
      </w:r>
      <w:r w:rsidR="00F60FA6">
        <w:t xml:space="preserve">ubmitting an inventory to IDEM’s State Dashboard is </w:t>
      </w:r>
      <w:r w:rsidR="000D3FD6">
        <w:t xml:space="preserve">a separate step </w:t>
      </w:r>
      <w:r w:rsidR="00F60FA6">
        <w:t xml:space="preserve">from uploading </w:t>
      </w:r>
      <w:r w:rsidR="000D3FD6">
        <w:t>LSL data,  although both steps are done within the Portal.</w:t>
      </w:r>
    </w:p>
    <w:p w14:paraId="30FA624C" w14:textId="77777777" w:rsidR="00DE1FC9" w:rsidRDefault="00DE1FC9" w:rsidP="00D753D0">
      <w:pPr>
        <w:spacing w:after="120"/>
        <w:ind w:left="360"/>
      </w:pPr>
    </w:p>
    <w:p w14:paraId="449F2D39" w14:textId="77777777" w:rsidR="00B93E74" w:rsidRPr="00B93E74" w:rsidRDefault="005C1F16" w:rsidP="00D753D0">
      <w:pPr>
        <w:pStyle w:val="ListParagraph"/>
        <w:numPr>
          <w:ilvl w:val="0"/>
          <w:numId w:val="1"/>
        </w:numPr>
        <w:spacing w:after="120"/>
        <w:contextualSpacing w:val="0"/>
      </w:pPr>
      <w:r w:rsidRPr="005C1F16">
        <w:rPr>
          <w:b/>
          <w:bCs/>
        </w:rPr>
        <w:t xml:space="preserve">How can I request help? </w:t>
      </w:r>
    </w:p>
    <w:p w14:paraId="7491A2A4" w14:textId="71B2A4B6" w:rsidR="00443275" w:rsidRDefault="00520BED" w:rsidP="00B93E74">
      <w:pPr>
        <w:pStyle w:val="ListParagraph"/>
        <w:spacing w:after="120"/>
        <w:ind w:left="360"/>
        <w:contextualSpacing w:val="0"/>
        <w:rPr>
          <w:rFonts w:eastAsia="Times New Roman" w:cstheme="minorHAnsi"/>
        </w:rPr>
      </w:pPr>
      <w:r w:rsidRPr="005C1F16">
        <w:rPr>
          <w:rFonts w:eastAsia="Times New Roman" w:cstheme="minorHAnsi"/>
        </w:rPr>
        <w:t xml:space="preserve">Please submit questions </w:t>
      </w:r>
      <w:r w:rsidR="007F7EA9">
        <w:rPr>
          <w:rFonts w:eastAsia="Times New Roman" w:cstheme="minorHAnsi"/>
        </w:rPr>
        <w:t>about</w:t>
      </w:r>
      <w:r w:rsidR="00443275">
        <w:rPr>
          <w:rFonts w:eastAsia="Times New Roman" w:cstheme="minorHAnsi"/>
        </w:rPr>
        <w:t>:</w:t>
      </w:r>
    </w:p>
    <w:p w14:paraId="69B33F0D" w14:textId="51D1B174" w:rsidR="00F02B78" w:rsidRDefault="007F7EA9" w:rsidP="00443275">
      <w:pPr>
        <w:pStyle w:val="ListParagraph"/>
        <w:numPr>
          <w:ilvl w:val="0"/>
          <w:numId w:val="9"/>
        </w:numPr>
        <w:spacing w:after="120"/>
        <w:contextualSpacing w:val="0"/>
        <w:rPr>
          <w:rStyle w:val="Hyperlink"/>
          <w:rFonts w:eastAsia="Times New Roman" w:cstheme="minorHAnsi"/>
        </w:rPr>
      </w:pPr>
      <w:r>
        <w:rPr>
          <w:rFonts w:eastAsia="Times New Roman" w:cstheme="minorHAnsi"/>
        </w:rPr>
        <w:t>the IFA’s LSL Inventory Funding</w:t>
      </w:r>
      <w:r w:rsidR="00520BED" w:rsidRPr="005C1F16">
        <w:rPr>
          <w:rFonts w:eastAsia="Times New Roman" w:cstheme="minorHAnsi"/>
        </w:rPr>
        <w:t xml:space="preserve"> to </w:t>
      </w:r>
      <w:hyperlink r:id="rId16" w:history="1">
        <w:r w:rsidR="005C1F16" w:rsidRPr="005C1F16">
          <w:rPr>
            <w:rStyle w:val="Hyperlink"/>
            <w:rFonts w:eastAsia="Times New Roman" w:cstheme="minorHAnsi"/>
          </w:rPr>
          <w:t>LSLIgrants@ifa.in.gov</w:t>
        </w:r>
      </w:hyperlink>
    </w:p>
    <w:p w14:paraId="5A96A1BE" w14:textId="6D65D8BE" w:rsidR="00443275" w:rsidRDefault="007F7EA9" w:rsidP="00443275">
      <w:pPr>
        <w:pStyle w:val="ListParagraph"/>
        <w:numPr>
          <w:ilvl w:val="0"/>
          <w:numId w:val="9"/>
        </w:numPr>
        <w:spacing w:after="120"/>
        <w:contextualSpacing w:val="0"/>
        <w:rPr>
          <w:rFonts w:eastAsia="Times New Roman" w:cstheme="minorHAnsi"/>
        </w:rPr>
      </w:pPr>
      <w:r>
        <w:rPr>
          <w:rFonts w:eastAsia="Times New Roman" w:cstheme="minorHAnsi"/>
        </w:rPr>
        <w:t>the Alliance’s Technical Assistance Program to</w:t>
      </w:r>
      <w:r w:rsidR="00443275">
        <w:rPr>
          <w:rFonts w:eastAsia="Times New Roman" w:cstheme="minorHAnsi"/>
        </w:rPr>
        <w:t xml:space="preserve">: </w:t>
      </w:r>
      <w:hyperlink r:id="rId17" w:history="1">
        <w:r w:rsidR="00443275" w:rsidRPr="00BD032E">
          <w:rPr>
            <w:rStyle w:val="Hyperlink"/>
            <w:rFonts w:eastAsia="Times New Roman" w:cstheme="minorHAnsi"/>
          </w:rPr>
          <w:t>https://www.inh2o.org/</w:t>
        </w:r>
      </w:hyperlink>
      <w:r w:rsidR="00443275">
        <w:rPr>
          <w:rFonts w:eastAsia="Times New Roman" w:cstheme="minorHAnsi"/>
        </w:rPr>
        <w:t xml:space="preserve"> </w:t>
      </w:r>
    </w:p>
    <w:p w14:paraId="6F157350" w14:textId="6D6C8364" w:rsidR="00443275" w:rsidRDefault="00443275" w:rsidP="00443275">
      <w:pPr>
        <w:pStyle w:val="ListParagraph"/>
        <w:numPr>
          <w:ilvl w:val="0"/>
          <w:numId w:val="9"/>
        </w:numPr>
        <w:spacing w:after="120"/>
        <w:contextualSpacing w:val="0"/>
        <w:rPr>
          <w:rFonts w:eastAsia="Times New Roman" w:cstheme="minorHAnsi"/>
        </w:rPr>
      </w:pPr>
      <w:r>
        <w:rPr>
          <w:rFonts w:eastAsia="Times New Roman" w:cstheme="minorHAnsi"/>
        </w:rPr>
        <w:t xml:space="preserve">the Indiana State Revolving Fund Loan Program to </w:t>
      </w:r>
      <w:r w:rsidRPr="00443275">
        <w:rPr>
          <w:rFonts w:eastAsia="Times New Roman" w:cstheme="minorHAnsi"/>
        </w:rPr>
        <w:t xml:space="preserve">Brett Roberts at </w:t>
      </w:r>
      <w:hyperlink r:id="rId18" w:history="1">
        <w:r w:rsidRPr="00BD032E">
          <w:rPr>
            <w:rStyle w:val="Hyperlink"/>
            <w:rFonts w:eastAsia="Times New Roman" w:cstheme="minorHAnsi"/>
          </w:rPr>
          <w:t>broberts@ifa.in.gov</w:t>
        </w:r>
      </w:hyperlink>
    </w:p>
    <w:p w14:paraId="1B822592" w14:textId="6AE8991A" w:rsidR="00443275" w:rsidRDefault="00443275" w:rsidP="00443275">
      <w:pPr>
        <w:pStyle w:val="ListParagraph"/>
        <w:numPr>
          <w:ilvl w:val="0"/>
          <w:numId w:val="9"/>
        </w:numPr>
        <w:spacing w:after="120"/>
        <w:contextualSpacing w:val="0"/>
        <w:rPr>
          <w:rFonts w:eastAsia="Times New Roman" w:cstheme="minorHAnsi"/>
        </w:rPr>
      </w:pPr>
      <w:r>
        <w:rPr>
          <w:rFonts w:eastAsia="Times New Roman" w:cstheme="minorHAnsi"/>
        </w:rPr>
        <w:t xml:space="preserve">the LSL Inventory requirements to IDEM at: </w:t>
      </w:r>
      <w:hyperlink r:id="rId19" w:history="1">
        <w:r w:rsidRPr="00BD032E">
          <w:rPr>
            <w:rStyle w:val="Hyperlink"/>
            <w:rFonts w:eastAsia="Times New Roman" w:cstheme="minorHAnsi"/>
          </w:rPr>
          <w:t>DWBMGR@idem.in.gov</w:t>
        </w:r>
      </w:hyperlink>
      <w:r>
        <w:rPr>
          <w:rFonts w:eastAsia="Times New Roman" w:cstheme="minorHAnsi"/>
        </w:rPr>
        <w:t xml:space="preserve"> </w:t>
      </w:r>
    </w:p>
    <w:p w14:paraId="062E0576" w14:textId="6D1851EB" w:rsidR="00443275" w:rsidRPr="00443275" w:rsidRDefault="00443275" w:rsidP="00443275">
      <w:pPr>
        <w:pStyle w:val="ListParagraph"/>
        <w:numPr>
          <w:ilvl w:val="0"/>
          <w:numId w:val="9"/>
        </w:numPr>
        <w:spacing w:after="120"/>
        <w:contextualSpacing w:val="0"/>
        <w:rPr>
          <w:rFonts w:eastAsia="Times New Roman" w:cstheme="minorHAnsi"/>
        </w:rPr>
      </w:pPr>
      <w:r>
        <w:rPr>
          <w:rFonts w:eastAsia="Times New Roman" w:cstheme="minorHAnsi"/>
        </w:rPr>
        <w:t xml:space="preserve">the PWS Portal and State Dashboard to: </w:t>
      </w:r>
      <w:hyperlink r:id="rId20" w:history="1">
        <w:r w:rsidRPr="00BD032E">
          <w:rPr>
            <w:rStyle w:val="Hyperlink"/>
            <w:rFonts w:eastAsia="Times New Roman" w:cstheme="minorHAnsi"/>
          </w:rPr>
          <w:t>support@120water.com</w:t>
        </w:r>
      </w:hyperlink>
      <w:r>
        <w:rPr>
          <w:rFonts w:eastAsia="Times New Roman" w:cstheme="minorHAnsi"/>
        </w:rPr>
        <w:t xml:space="preserve"> </w:t>
      </w:r>
    </w:p>
    <w:p w14:paraId="0407CF92" w14:textId="297E521D" w:rsidR="00003872" w:rsidRPr="007F7EA9" w:rsidRDefault="00003872" w:rsidP="007F7EA9">
      <w:pPr>
        <w:spacing w:after="120"/>
        <w:rPr>
          <w:rStyle w:val="Hyperlink"/>
          <w:rFonts w:eastAsia="Times New Roman" w:cstheme="minorHAnsi"/>
        </w:rPr>
      </w:pPr>
    </w:p>
    <w:p w14:paraId="09CDF6BC" w14:textId="77777777" w:rsidR="00003872" w:rsidRPr="005C1F16" w:rsidRDefault="00003872" w:rsidP="00B93E74">
      <w:pPr>
        <w:pStyle w:val="ListParagraph"/>
        <w:spacing w:after="120"/>
        <w:ind w:left="360"/>
        <w:contextualSpacing w:val="0"/>
      </w:pPr>
    </w:p>
    <w:p w14:paraId="12DE0A75" w14:textId="3A37B454" w:rsidR="00F02B78" w:rsidRDefault="00F02B78" w:rsidP="00D753D0">
      <w:pPr>
        <w:spacing w:after="120"/>
        <w:rPr>
          <w:b/>
          <w:bCs/>
        </w:rPr>
      </w:pPr>
    </w:p>
    <w:p w14:paraId="060DD675" w14:textId="77777777" w:rsidR="00F02B78" w:rsidRPr="00F02B78" w:rsidRDefault="00F02B78" w:rsidP="00D753D0">
      <w:pPr>
        <w:spacing w:after="120"/>
        <w:rPr>
          <w:b/>
          <w:bCs/>
        </w:rPr>
      </w:pPr>
    </w:p>
    <w:sectPr w:rsidR="00F02B78" w:rsidRPr="00F02B78" w:rsidSect="003A1D0F">
      <w:headerReference w:type="default" r:id="rId21"/>
      <w:footerReference w:type="defaul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57C4" w14:textId="77777777" w:rsidR="005A460C" w:rsidRDefault="005A460C" w:rsidP="000E2044">
      <w:pPr>
        <w:spacing w:after="0" w:line="240" w:lineRule="auto"/>
      </w:pPr>
      <w:r>
        <w:separator/>
      </w:r>
    </w:p>
  </w:endnote>
  <w:endnote w:type="continuationSeparator" w:id="0">
    <w:p w14:paraId="35D2AF83" w14:textId="77777777" w:rsidR="005A460C" w:rsidRDefault="005A460C" w:rsidP="000E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978523"/>
      <w:docPartObj>
        <w:docPartGallery w:val="Page Numbers (Bottom of Page)"/>
        <w:docPartUnique/>
      </w:docPartObj>
    </w:sdtPr>
    <w:sdtEndPr/>
    <w:sdtContent>
      <w:sdt>
        <w:sdtPr>
          <w:id w:val="1728636285"/>
          <w:docPartObj>
            <w:docPartGallery w:val="Page Numbers (Top of Page)"/>
            <w:docPartUnique/>
          </w:docPartObj>
        </w:sdtPr>
        <w:sdtEndPr/>
        <w:sdtContent>
          <w:p w14:paraId="77C28B59" w14:textId="50EC25CB" w:rsidR="000E2044" w:rsidRDefault="000E20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8DE244" w14:textId="77777777" w:rsidR="000E2044" w:rsidRDefault="000E2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6C00" w14:textId="77777777" w:rsidR="005A460C" w:rsidRDefault="005A460C" w:rsidP="000E2044">
      <w:pPr>
        <w:spacing w:after="0" w:line="240" w:lineRule="auto"/>
      </w:pPr>
      <w:r>
        <w:separator/>
      </w:r>
    </w:p>
  </w:footnote>
  <w:footnote w:type="continuationSeparator" w:id="0">
    <w:p w14:paraId="3903ADC5" w14:textId="77777777" w:rsidR="005A460C" w:rsidRDefault="005A460C" w:rsidP="000E2044">
      <w:pPr>
        <w:spacing w:after="0" w:line="240" w:lineRule="auto"/>
      </w:pPr>
      <w:r>
        <w:continuationSeparator/>
      </w:r>
    </w:p>
  </w:footnote>
  <w:footnote w:id="1">
    <w:p w14:paraId="0E3BEAFF" w14:textId="721C6A1C" w:rsidR="00EC0D30" w:rsidRPr="00722A9B" w:rsidRDefault="00EC0D30" w:rsidP="00EC0D30">
      <w:pPr>
        <w:spacing w:before="100" w:beforeAutospacing="1" w:after="100" w:afterAutospacing="1" w:line="240" w:lineRule="auto"/>
        <w:rPr>
          <w:rFonts w:eastAsia="Times New Roman" w:cstheme="minorHAnsi"/>
          <w:color w:val="0A0A0A"/>
        </w:rPr>
      </w:pPr>
      <w:r>
        <w:rPr>
          <w:rStyle w:val="FootnoteReference"/>
        </w:rPr>
        <w:footnoteRef/>
      </w:r>
      <w:r>
        <w:t xml:space="preserve"> </w:t>
      </w:r>
      <w:r w:rsidRPr="00722A9B">
        <w:rPr>
          <w:rFonts w:eastAsia="Times New Roman" w:cstheme="minorHAnsi"/>
          <w:color w:val="0A0A0A"/>
          <w:highlight w:val="yellow"/>
        </w:rPr>
        <w:t>Starting in Spring 2024, the Alliance of Indiana Rural Water will assist utilities serving &lt;1000 service connections with hydro</w:t>
      </w:r>
      <w:r w:rsidR="00721AA3">
        <w:rPr>
          <w:rFonts w:eastAsia="Times New Roman" w:cstheme="minorHAnsi"/>
          <w:color w:val="0A0A0A"/>
          <w:highlight w:val="yellow"/>
        </w:rPr>
        <w:t>-exca</w:t>
      </w:r>
      <w:r w:rsidR="00721AA3" w:rsidRPr="00722A9B">
        <w:rPr>
          <w:rFonts w:eastAsia="Times New Roman" w:cstheme="minorHAnsi"/>
          <w:color w:val="0A0A0A"/>
          <w:highlight w:val="yellow"/>
        </w:rPr>
        <w:t>vat</w:t>
      </w:r>
      <w:r w:rsidR="00721AA3">
        <w:rPr>
          <w:rFonts w:eastAsia="Times New Roman" w:cstheme="minorHAnsi"/>
          <w:color w:val="0A0A0A"/>
          <w:highlight w:val="yellow"/>
        </w:rPr>
        <w:t>ion</w:t>
      </w:r>
      <w:r w:rsidRPr="00722A9B">
        <w:rPr>
          <w:rFonts w:eastAsia="Times New Roman" w:cstheme="minorHAnsi"/>
          <w:color w:val="0A0A0A"/>
          <w:highlight w:val="yellow"/>
        </w:rPr>
        <w:t xml:space="preserve"> needs related to validation. To apply, register at the </w:t>
      </w:r>
      <w:hyperlink r:id="rId1" w:history="1">
        <w:r w:rsidRPr="00722A9B">
          <w:rPr>
            <w:rFonts w:eastAsia="Times New Roman" w:cstheme="minorHAnsi"/>
            <w:color w:val="426082"/>
            <w:highlight w:val="yellow"/>
            <w:u w:val="single"/>
          </w:rPr>
          <w:t>Alliance’s Lead Inventory Technical Assistance website</w:t>
        </w:r>
      </w:hyperlink>
      <w:r w:rsidRPr="00722A9B">
        <w:rPr>
          <w:rFonts w:eastAsia="Times New Roman" w:cstheme="minorHAnsi"/>
          <w:color w:val="0A0A0A"/>
          <w:highlight w:val="yellow"/>
        </w:rPr>
        <w:t>.</w:t>
      </w:r>
    </w:p>
    <w:p w14:paraId="2BB2FF12" w14:textId="77777777" w:rsidR="00EC0D30" w:rsidRDefault="00EC0D30" w:rsidP="00EC0D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37E0" w14:textId="15023681" w:rsidR="007D3F16" w:rsidRDefault="007D3F16">
    <w:pPr>
      <w:pStyle w:val="Header"/>
    </w:pPr>
    <w:r>
      <w:t>IFA LSL</w:t>
    </w:r>
    <w:r w:rsidR="00E838DB">
      <w:t xml:space="preserve"> Inventory </w:t>
    </w:r>
    <w:r>
      <w:t>Funding Program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DAB"/>
    <w:multiLevelType w:val="hybridMultilevel"/>
    <w:tmpl w:val="C352A45A"/>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1F58EE"/>
    <w:multiLevelType w:val="hybridMultilevel"/>
    <w:tmpl w:val="B40479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E0D9B"/>
    <w:multiLevelType w:val="hybridMultilevel"/>
    <w:tmpl w:val="42B0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674CA"/>
    <w:multiLevelType w:val="hybridMultilevel"/>
    <w:tmpl w:val="5D481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7479E0"/>
    <w:multiLevelType w:val="hybridMultilevel"/>
    <w:tmpl w:val="C6C62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B28B8"/>
    <w:multiLevelType w:val="hybridMultilevel"/>
    <w:tmpl w:val="AC500232"/>
    <w:lvl w:ilvl="0" w:tplc="B8CCE7C8">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C96500"/>
    <w:multiLevelType w:val="hybridMultilevel"/>
    <w:tmpl w:val="564C0BF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932631F"/>
    <w:multiLevelType w:val="hybridMultilevel"/>
    <w:tmpl w:val="B96A8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35E2"/>
    <w:multiLevelType w:val="hybridMultilevel"/>
    <w:tmpl w:val="834C782C"/>
    <w:lvl w:ilvl="0" w:tplc="B30662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F5598D"/>
    <w:multiLevelType w:val="hybridMultilevel"/>
    <w:tmpl w:val="92C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907723">
    <w:abstractNumId w:val="5"/>
  </w:num>
  <w:num w:numId="2" w16cid:durableId="2042893616">
    <w:abstractNumId w:val="9"/>
  </w:num>
  <w:num w:numId="3" w16cid:durableId="1275092430">
    <w:abstractNumId w:val="2"/>
  </w:num>
  <w:num w:numId="4" w16cid:durableId="1216117329">
    <w:abstractNumId w:val="4"/>
  </w:num>
  <w:num w:numId="5" w16cid:durableId="1692098836">
    <w:abstractNumId w:val="7"/>
  </w:num>
  <w:num w:numId="6" w16cid:durableId="1549604088">
    <w:abstractNumId w:val="1"/>
  </w:num>
  <w:num w:numId="7" w16cid:durableId="1371565038">
    <w:abstractNumId w:val="0"/>
  </w:num>
  <w:num w:numId="8" w16cid:durableId="1052728332">
    <w:abstractNumId w:val="6"/>
  </w:num>
  <w:num w:numId="9" w16cid:durableId="469128320">
    <w:abstractNumId w:val="8"/>
  </w:num>
  <w:num w:numId="10" w16cid:durableId="809178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2D"/>
    <w:rsid w:val="00001373"/>
    <w:rsid w:val="00003872"/>
    <w:rsid w:val="00091630"/>
    <w:rsid w:val="00093852"/>
    <w:rsid w:val="000C0861"/>
    <w:rsid w:val="000D0928"/>
    <w:rsid w:val="000D3FD6"/>
    <w:rsid w:val="000E2044"/>
    <w:rsid w:val="000E421A"/>
    <w:rsid w:val="000E5A0A"/>
    <w:rsid w:val="00106F7A"/>
    <w:rsid w:val="0012758C"/>
    <w:rsid w:val="00130B13"/>
    <w:rsid w:val="0014754C"/>
    <w:rsid w:val="001605ED"/>
    <w:rsid w:val="00164083"/>
    <w:rsid w:val="00185046"/>
    <w:rsid w:val="0018667E"/>
    <w:rsid w:val="00194066"/>
    <w:rsid w:val="001B14A3"/>
    <w:rsid w:val="001B3DD0"/>
    <w:rsid w:val="001B3EE7"/>
    <w:rsid w:val="001C4FB1"/>
    <w:rsid w:val="001E5F00"/>
    <w:rsid w:val="001F14DC"/>
    <w:rsid w:val="001F5E99"/>
    <w:rsid w:val="0020523D"/>
    <w:rsid w:val="00213ECD"/>
    <w:rsid w:val="002205AA"/>
    <w:rsid w:val="00234CC8"/>
    <w:rsid w:val="00254EC5"/>
    <w:rsid w:val="00260770"/>
    <w:rsid w:val="002A50EE"/>
    <w:rsid w:val="002B291D"/>
    <w:rsid w:val="002C2B77"/>
    <w:rsid w:val="002C7C19"/>
    <w:rsid w:val="002F455A"/>
    <w:rsid w:val="00317AA9"/>
    <w:rsid w:val="0032614F"/>
    <w:rsid w:val="00332CFC"/>
    <w:rsid w:val="00335501"/>
    <w:rsid w:val="003502D4"/>
    <w:rsid w:val="0037152A"/>
    <w:rsid w:val="003A080A"/>
    <w:rsid w:val="003A1D0F"/>
    <w:rsid w:val="003D5B37"/>
    <w:rsid w:val="003E614C"/>
    <w:rsid w:val="004024A3"/>
    <w:rsid w:val="00413B27"/>
    <w:rsid w:val="0042162A"/>
    <w:rsid w:val="00443275"/>
    <w:rsid w:val="004522CD"/>
    <w:rsid w:val="0046001C"/>
    <w:rsid w:val="00465B28"/>
    <w:rsid w:val="00492742"/>
    <w:rsid w:val="004A4222"/>
    <w:rsid w:val="004A605A"/>
    <w:rsid w:val="004B794D"/>
    <w:rsid w:val="004C66F8"/>
    <w:rsid w:val="004C70D6"/>
    <w:rsid w:val="004F3288"/>
    <w:rsid w:val="00500FC3"/>
    <w:rsid w:val="005147BA"/>
    <w:rsid w:val="00520BED"/>
    <w:rsid w:val="00530211"/>
    <w:rsid w:val="005452C8"/>
    <w:rsid w:val="005523C5"/>
    <w:rsid w:val="005544F3"/>
    <w:rsid w:val="00572C6C"/>
    <w:rsid w:val="00596201"/>
    <w:rsid w:val="005A460C"/>
    <w:rsid w:val="005C0039"/>
    <w:rsid w:val="005C1F16"/>
    <w:rsid w:val="005E012D"/>
    <w:rsid w:val="006032EE"/>
    <w:rsid w:val="006133A4"/>
    <w:rsid w:val="0064704E"/>
    <w:rsid w:val="00664C84"/>
    <w:rsid w:val="006737D3"/>
    <w:rsid w:val="00687BDC"/>
    <w:rsid w:val="006C2227"/>
    <w:rsid w:val="006E0674"/>
    <w:rsid w:val="006F0C5B"/>
    <w:rsid w:val="007037DA"/>
    <w:rsid w:val="00715A8D"/>
    <w:rsid w:val="00721AA3"/>
    <w:rsid w:val="007255B4"/>
    <w:rsid w:val="00745B3E"/>
    <w:rsid w:val="00780F8D"/>
    <w:rsid w:val="0079207B"/>
    <w:rsid w:val="007B4B3B"/>
    <w:rsid w:val="007C7A4E"/>
    <w:rsid w:val="007D3F16"/>
    <w:rsid w:val="007E53D9"/>
    <w:rsid w:val="007F7EA9"/>
    <w:rsid w:val="0082172E"/>
    <w:rsid w:val="0089263A"/>
    <w:rsid w:val="00897CB8"/>
    <w:rsid w:val="008A3E46"/>
    <w:rsid w:val="008B0424"/>
    <w:rsid w:val="008B1D04"/>
    <w:rsid w:val="008B5C84"/>
    <w:rsid w:val="008E0243"/>
    <w:rsid w:val="008F21F2"/>
    <w:rsid w:val="008F53C1"/>
    <w:rsid w:val="0096259B"/>
    <w:rsid w:val="00975915"/>
    <w:rsid w:val="009930AC"/>
    <w:rsid w:val="009C0824"/>
    <w:rsid w:val="009F1982"/>
    <w:rsid w:val="00A1734F"/>
    <w:rsid w:val="00A1737E"/>
    <w:rsid w:val="00A22069"/>
    <w:rsid w:val="00A41B3F"/>
    <w:rsid w:val="00A934D2"/>
    <w:rsid w:val="00AA0D71"/>
    <w:rsid w:val="00AB7718"/>
    <w:rsid w:val="00AE3FB1"/>
    <w:rsid w:val="00AF0EFD"/>
    <w:rsid w:val="00B10E16"/>
    <w:rsid w:val="00B11D64"/>
    <w:rsid w:val="00B2786B"/>
    <w:rsid w:val="00B36869"/>
    <w:rsid w:val="00B65DA7"/>
    <w:rsid w:val="00B93E74"/>
    <w:rsid w:val="00B95E8E"/>
    <w:rsid w:val="00BA0D9D"/>
    <w:rsid w:val="00BB1108"/>
    <w:rsid w:val="00BF491D"/>
    <w:rsid w:val="00C32A91"/>
    <w:rsid w:val="00C8151F"/>
    <w:rsid w:val="00C82375"/>
    <w:rsid w:val="00C83D02"/>
    <w:rsid w:val="00C96CBA"/>
    <w:rsid w:val="00CA4D5D"/>
    <w:rsid w:val="00CA4F9A"/>
    <w:rsid w:val="00CD4C01"/>
    <w:rsid w:val="00CE20DF"/>
    <w:rsid w:val="00CE52A8"/>
    <w:rsid w:val="00CF3BAF"/>
    <w:rsid w:val="00D01F40"/>
    <w:rsid w:val="00D22D6E"/>
    <w:rsid w:val="00D43059"/>
    <w:rsid w:val="00D57D65"/>
    <w:rsid w:val="00D61E01"/>
    <w:rsid w:val="00D753D0"/>
    <w:rsid w:val="00DB3465"/>
    <w:rsid w:val="00DC1868"/>
    <w:rsid w:val="00DD4ACB"/>
    <w:rsid w:val="00DE1FC9"/>
    <w:rsid w:val="00E166D5"/>
    <w:rsid w:val="00E53A55"/>
    <w:rsid w:val="00E56583"/>
    <w:rsid w:val="00E56B80"/>
    <w:rsid w:val="00E70F3D"/>
    <w:rsid w:val="00E763BD"/>
    <w:rsid w:val="00E817C1"/>
    <w:rsid w:val="00E838DB"/>
    <w:rsid w:val="00EA2412"/>
    <w:rsid w:val="00EA4254"/>
    <w:rsid w:val="00EB79C0"/>
    <w:rsid w:val="00EC0D30"/>
    <w:rsid w:val="00EC1521"/>
    <w:rsid w:val="00ED67EE"/>
    <w:rsid w:val="00EE3969"/>
    <w:rsid w:val="00EF1487"/>
    <w:rsid w:val="00F02B78"/>
    <w:rsid w:val="00F13EB7"/>
    <w:rsid w:val="00F268F8"/>
    <w:rsid w:val="00F327F1"/>
    <w:rsid w:val="00F4584E"/>
    <w:rsid w:val="00F532EF"/>
    <w:rsid w:val="00F56E1E"/>
    <w:rsid w:val="00F573A7"/>
    <w:rsid w:val="00F60FA6"/>
    <w:rsid w:val="00F7321A"/>
    <w:rsid w:val="00FB2CAB"/>
    <w:rsid w:val="00FB3527"/>
    <w:rsid w:val="00FC457C"/>
    <w:rsid w:val="00FC5909"/>
    <w:rsid w:val="00FD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4AB2"/>
  <w15:chartTrackingRefBased/>
  <w15:docId w15:val="{734A1527-B03C-4EFC-A60E-7CE316DD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6B"/>
  </w:style>
  <w:style w:type="paragraph" w:styleId="Heading1">
    <w:name w:val="heading 1"/>
    <w:basedOn w:val="Normal"/>
    <w:next w:val="Normal"/>
    <w:link w:val="Heading1Char"/>
    <w:uiPriority w:val="9"/>
    <w:qFormat/>
    <w:rsid w:val="00F02B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C0D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B7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02B78"/>
    <w:pPr>
      <w:ind w:left="720"/>
      <w:contextualSpacing/>
    </w:pPr>
  </w:style>
  <w:style w:type="character" w:styleId="Hyperlink">
    <w:name w:val="Hyperlink"/>
    <w:basedOn w:val="DefaultParagraphFont"/>
    <w:uiPriority w:val="99"/>
    <w:unhideWhenUsed/>
    <w:rsid w:val="00687BDC"/>
    <w:rPr>
      <w:color w:val="0000FF"/>
      <w:u w:val="single"/>
    </w:rPr>
  </w:style>
  <w:style w:type="character" w:styleId="UnresolvedMention">
    <w:name w:val="Unresolved Mention"/>
    <w:basedOn w:val="DefaultParagraphFont"/>
    <w:uiPriority w:val="99"/>
    <w:semiHidden/>
    <w:unhideWhenUsed/>
    <w:rsid w:val="00520BED"/>
    <w:rPr>
      <w:color w:val="605E5C"/>
      <w:shd w:val="clear" w:color="auto" w:fill="E1DFDD"/>
    </w:rPr>
  </w:style>
  <w:style w:type="character" w:styleId="CommentReference">
    <w:name w:val="annotation reference"/>
    <w:basedOn w:val="DefaultParagraphFont"/>
    <w:uiPriority w:val="99"/>
    <w:semiHidden/>
    <w:unhideWhenUsed/>
    <w:rsid w:val="00D57D65"/>
    <w:rPr>
      <w:sz w:val="16"/>
      <w:szCs w:val="16"/>
    </w:rPr>
  </w:style>
  <w:style w:type="paragraph" w:styleId="CommentText">
    <w:name w:val="annotation text"/>
    <w:basedOn w:val="Normal"/>
    <w:link w:val="CommentTextChar"/>
    <w:uiPriority w:val="99"/>
    <w:unhideWhenUsed/>
    <w:rsid w:val="00D57D65"/>
    <w:pPr>
      <w:spacing w:line="240" w:lineRule="auto"/>
    </w:pPr>
    <w:rPr>
      <w:sz w:val="20"/>
      <w:szCs w:val="20"/>
    </w:rPr>
  </w:style>
  <w:style w:type="character" w:customStyle="1" w:styleId="CommentTextChar">
    <w:name w:val="Comment Text Char"/>
    <w:basedOn w:val="DefaultParagraphFont"/>
    <w:link w:val="CommentText"/>
    <w:uiPriority w:val="99"/>
    <w:rsid w:val="00D57D65"/>
    <w:rPr>
      <w:sz w:val="20"/>
      <w:szCs w:val="20"/>
    </w:rPr>
  </w:style>
  <w:style w:type="paragraph" w:styleId="CommentSubject">
    <w:name w:val="annotation subject"/>
    <w:basedOn w:val="CommentText"/>
    <w:next w:val="CommentText"/>
    <w:link w:val="CommentSubjectChar"/>
    <w:uiPriority w:val="99"/>
    <w:semiHidden/>
    <w:unhideWhenUsed/>
    <w:rsid w:val="00D57D65"/>
    <w:rPr>
      <w:b/>
      <w:bCs/>
    </w:rPr>
  </w:style>
  <w:style w:type="character" w:customStyle="1" w:styleId="CommentSubjectChar">
    <w:name w:val="Comment Subject Char"/>
    <w:basedOn w:val="CommentTextChar"/>
    <w:link w:val="CommentSubject"/>
    <w:uiPriority w:val="99"/>
    <w:semiHidden/>
    <w:rsid w:val="00D57D65"/>
    <w:rPr>
      <w:b/>
      <w:bCs/>
      <w:sz w:val="20"/>
      <w:szCs w:val="20"/>
    </w:rPr>
  </w:style>
  <w:style w:type="paragraph" w:styleId="Header">
    <w:name w:val="header"/>
    <w:basedOn w:val="Normal"/>
    <w:link w:val="HeaderChar"/>
    <w:uiPriority w:val="99"/>
    <w:unhideWhenUsed/>
    <w:rsid w:val="000E2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44"/>
  </w:style>
  <w:style w:type="paragraph" w:styleId="Footer">
    <w:name w:val="footer"/>
    <w:basedOn w:val="Normal"/>
    <w:link w:val="FooterChar"/>
    <w:uiPriority w:val="99"/>
    <w:unhideWhenUsed/>
    <w:rsid w:val="000E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044"/>
  </w:style>
  <w:style w:type="paragraph" w:styleId="Title">
    <w:name w:val="Title"/>
    <w:basedOn w:val="Normal"/>
    <w:next w:val="Normal"/>
    <w:link w:val="TitleChar"/>
    <w:uiPriority w:val="10"/>
    <w:qFormat/>
    <w:rsid w:val="007D3F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F16"/>
    <w:rPr>
      <w:rFonts w:asciiTheme="majorHAnsi" w:eastAsiaTheme="majorEastAsia" w:hAnsiTheme="majorHAnsi" w:cstheme="majorBidi"/>
      <w:spacing w:val="-10"/>
      <w:kern w:val="28"/>
      <w:sz w:val="56"/>
      <w:szCs w:val="56"/>
    </w:rPr>
  </w:style>
  <w:style w:type="paragraph" w:styleId="Revision">
    <w:name w:val="Revision"/>
    <w:hidden/>
    <w:uiPriority w:val="99"/>
    <w:semiHidden/>
    <w:rsid w:val="001B3EE7"/>
    <w:pPr>
      <w:spacing w:after="0" w:line="240" w:lineRule="auto"/>
    </w:pPr>
  </w:style>
  <w:style w:type="paragraph" w:styleId="Caption">
    <w:name w:val="caption"/>
    <w:basedOn w:val="Normal"/>
    <w:next w:val="Normal"/>
    <w:uiPriority w:val="35"/>
    <w:unhideWhenUsed/>
    <w:qFormat/>
    <w:rsid w:val="0079207B"/>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22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069"/>
    <w:rPr>
      <w:sz w:val="20"/>
      <w:szCs w:val="20"/>
    </w:rPr>
  </w:style>
  <w:style w:type="character" w:styleId="FootnoteReference">
    <w:name w:val="footnote reference"/>
    <w:basedOn w:val="DefaultParagraphFont"/>
    <w:uiPriority w:val="99"/>
    <w:semiHidden/>
    <w:unhideWhenUsed/>
    <w:rsid w:val="00A22069"/>
    <w:rPr>
      <w:vertAlign w:val="superscript"/>
    </w:rPr>
  </w:style>
  <w:style w:type="character" w:customStyle="1" w:styleId="Heading3Char">
    <w:name w:val="Heading 3 Char"/>
    <w:basedOn w:val="DefaultParagraphFont"/>
    <w:link w:val="Heading3"/>
    <w:uiPriority w:val="9"/>
    <w:rsid w:val="00EC0D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census.gov/" TargetMode="External"/><Relationship Id="rId18" Type="http://schemas.openxmlformats.org/officeDocument/2006/relationships/hyperlink" Target="mailto:broberts@ifa.in.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dwv.gecsws.com/" TargetMode="External"/><Relationship Id="rId17" Type="http://schemas.openxmlformats.org/officeDocument/2006/relationships/hyperlink" Target="https://www.inh2o.org/" TargetMode="External"/><Relationship Id="rId2" Type="http://schemas.openxmlformats.org/officeDocument/2006/relationships/numbering" Target="numbering.xml"/><Relationship Id="rId16" Type="http://schemas.openxmlformats.org/officeDocument/2006/relationships/hyperlink" Target="mailto:LSLIgrants@ifa.in.gov" TargetMode="External"/><Relationship Id="rId20" Type="http://schemas.openxmlformats.org/officeDocument/2006/relationships/hyperlink" Target="mailto:support@120wa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LIgrants@ifa.in.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SLIgrants@ifa.in.gov" TargetMode="External"/><Relationship Id="rId23" Type="http://schemas.openxmlformats.org/officeDocument/2006/relationships/fontTable" Target="fontTable.xml"/><Relationship Id="rId10" Type="http://schemas.openxmlformats.org/officeDocument/2006/relationships/hyperlink" Target="mailto:support@120water.com" TargetMode="External"/><Relationship Id="rId19" Type="http://schemas.openxmlformats.org/officeDocument/2006/relationships/hyperlink" Target="mailto:DWBMGR@idem.in.gov"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s://www.in.gov/idem/cleanwater/drinking-water/drinking-water-compliance-section/water-systems/drinking-water-and-lead/"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h2o.org/Resources/Lead-Copper-Resources-LCRR/Lead-Inventory-Technical-Assista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3EBE-2CAB-4364-B547-B33B11B7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Erica (IFA)</dc:creator>
  <cp:keywords/>
  <dc:description/>
  <cp:lastModifiedBy>Hudson, Sarah</cp:lastModifiedBy>
  <cp:revision>12</cp:revision>
  <cp:lastPrinted>2023-05-01T20:27:00Z</cp:lastPrinted>
  <dcterms:created xsi:type="dcterms:W3CDTF">2023-12-22T15:10:00Z</dcterms:created>
  <dcterms:modified xsi:type="dcterms:W3CDTF">2024-01-17T18:40:00Z</dcterms:modified>
</cp:coreProperties>
</file>